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eastAsia="zh-CN"/>
        </w:rPr>
      </w:pPr>
      <w:r>
        <w:rPr>
          <w:rFonts w:hint="eastAsia" w:ascii="黑体" w:hAnsi="黑体" w:eastAsia="黑体" w:cs="黑体"/>
          <w:b/>
          <w:bCs/>
          <w:sz w:val="32"/>
          <w:szCs w:val="32"/>
        </w:rPr>
        <w:t>兰西县</w:t>
      </w:r>
      <w:r>
        <w:rPr>
          <w:rFonts w:hint="eastAsia" w:ascii="黑体" w:hAnsi="黑体" w:eastAsia="黑体" w:cs="黑体"/>
          <w:b/>
          <w:bCs/>
          <w:sz w:val="32"/>
          <w:szCs w:val="32"/>
          <w:lang w:eastAsia="zh-CN"/>
        </w:rPr>
        <w:t>星火乡第一中学</w:t>
      </w:r>
      <w:r>
        <w:rPr>
          <w:rFonts w:hint="eastAsia" w:ascii="黑体" w:hAnsi="黑体" w:eastAsia="黑体" w:cs="黑体"/>
          <w:b/>
          <w:bCs/>
          <w:sz w:val="32"/>
          <w:szCs w:val="32"/>
        </w:rPr>
        <w:t>2019-2020第二学期教师教育教学能力提升线上培训实施计划</w:t>
      </w:r>
      <w:r>
        <w:rPr>
          <w:rFonts w:hint="eastAsia" w:ascii="黑体" w:hAnsi="黑体" w:eastAsia="黑体" w:cs="黑体"/>
          <w:b/>
          <w:bCs/>
          <w:sz w:val="32"/>
          <w:szCs w:val="32"/>
          <w:lang w:eastAsia="zh-CN"/>
        </w:rPr>
        <w:t>（一）</w:t>
      </w:r>
    </w:p>
    <w:tbl>
      <w:tblPr>
        <w:tblStyle w:val="4"/>
        <w:tblW w:w="15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065"/>
        <w:gridCol w:w="1724"/>
        <w:gridCol w:w="1788"/>
        <w:gridCol w:w="1432"/>
        <w:gridCol w:w="737"/>
        <w:gridCol w:w="1824"/>
        <w:gridCol w:w="410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112"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模  块</w:t>
            </w:r>
          </w:p>
        </w:tc>
        <w:tc>
          <w:tcPr>
            <w:tcW w:w="1065"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培训时间</w:t>
            </w:r>
          </w:p>
        </w:tc>
        <w:tc>
          <w:tcPr>
            <w:tcW w:w="5681" w:type="dxa"/>
            <w:gridSpan w:val="4"/>
            <w:vAlign w:val="center"/>
          </w:tcPr>
          <w:p>
            <w:pPr>
              <w:jc w:val="center"/>
              <w:rPr>
                <w:rFonts w:ascii="仿宋" w:hAnsi="仿宋" w:eastAsia="仿宋" w:cs="仿宋"/>
                <w:b/>
                <w:bCs/>
                <w:szCs w:val="21"/>
              </w:rPr>
            </w:pPr>
            <w:r>
              <w:rPr>
                <w:rFonts w:hint="eastAsia" w:ascii="仿宋" w:hAnsi="仿宋" w:eastAsia="仿宋" w:cs="仿宋"/>
                <w:b/>
                <w:bCs/>
                <w:szCs w:val="21"/>
              </w:rPr>
              <w:t>必修课程</w:t>
            </w:r>
          </w:p>
        </w:tc>
        <w:tc>
          <w:tcPr>
            <w:tcW w:w="5925"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选修课程</w:t>
            </w:r>
          </w:p>
        </w:tc>
        <w:tc>
          <w:tcPr>
            <w:tcW w:w="1241"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112" w:type="dxa"/>
            <w:vMerge w:val="continue"/>
            <w:vAlign w:val="center"/>
          </w:tcPr>
          <w:p>
            <w:pPr>
              <w:jc w:val="center"/>
              <w:rPr>
                <w:rFonts w:ascii="仿宋" w:hAnsi="仿宋" w:eastAsia="仿宋" w:cs="仿宋"/>
                <w:b/>
                <w:bCs/>
                <w:szCs w:val="21"/>
              </w:rPr>
            </w:pPr>
          </w:p>
        </w:tc>
        <w:tc>
          <w:tcPr>
            <w:tcW w:w="1065" w:type="dxa"/>
            <w:vMerge w:val="continue"/>
            <w:vAlign w:val="center"/>
          </w:tcPr>
          <w:p>
            <w:pPr>
              <w:jc w:val="center"/>
              <w:rPr>
                <w:rFonts w:ascii="仿宋" w:hAnsi="仿宋" w:eastAsia="仿宋" w:cs="仿宋"/>
                <w:b/>
                <w:bCs/>
                <w:szCs w:val="21"/>
              </w:rPr>
            </w:pPr>
          </w:p>
        </w:tc>
        <w:tc>
          <w:tcPr>
            <w:tcW w:w="1724" w:type="dxa"/>
            <w:vAlign w:val="center"/>
          </w:tcPr>
          <w:p>
            <w:pPr>
              <w:jc w:val="center"/>
              <w:rPr>
                <w:rFonts w:ascii="仿宋" w:hAnsi="仿宋" w:eastAsia="仿宋" w:cs="仿宋"/>
                <w:b/>
                <w:bCs/>
                <w:szCs w:val="21"/>
              </w:rPr>
            </w:pPr>
            <w:r>
              <w:rPr>
                <w:rFonts w:hint="eastAsia" w:ascii="仿宋" w:hAnsi="仿宋" w:eastAsia="仿宋" w:cs="仿宋"/>
                <w:b/>
                <w:bCs/>
                <w:szCs w:val="21"/>
              </w:rPr>
              <w:t>培训内容及时长</w:t>
            </w:r>
          </w:p>
        </w:tc>
        <w:tc>
          <w:tcPr>
            <w:tcW w:w="1788" w:type="dxa"/>
            <w:vAlign w:val="center"/>
          </w:tcPr>
          <w:p>
            <w:pPr>
              <w:jc w:val="center"/>
              <w:rPr>
                <w:rFonts w:ascii="仿宋" w:hAnsi="仿宋" w:eastAsia="仿宋" w:cs="仿宋"/>
                <w:b/>
                <w:bCs/>
                <w:szCs w:val="21"/>
              </w:rPr>
            </w:pPr>
            <w:r>
              <w:rPr>
                <w:rFonts w:hint="eastAsia" w:ascii="仿宋" w:hAnsi="仿宋" w:eastAsia="仿宋" w:cs="仿宋"/>
                <w:b/>
                <w:bCs/>
                <w:szCs w:val="21"/>
              </w:rPr>
              <w:t>课程来源及方式</w:t>
            </w:r>
          </w:p>
        </w:tc>
        <w:tc>
          <w:tcPr>
            <w:tcW w:w="2169"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研修作业及考评</w:t>
            </w:r>
          </w:p>
        </w:tc>
        <w:tc>
          <w:tcPr>
            <w:tcW w:w="1824" w:type="dxa"/>
            <w:vAlign w:val="center"/>
          </w:tcPr>
          <w:p>
            <w:pPr>
              <w:jc w:val="center"/>
              <w:rPr>
                <w:rFonts w:ascii="仿宋" w:hAnsi="仿宋" w:eastAsia="仿宋" w:cs="仿宋"/>
                <w:b/>
                <w:bCs/>
                <w:szCs w:val="21"/>
              </w:rPr>
            </w:pPr>
            <w:r>
              <w:rPr>
                <w:rFonts w:hint="eastAsia" w:ascii="仿宋" w:hAnsi="仿宋" w:eastAsia="仿宋" w:cs="仿宋"/>
                <w:b/>
                <w:bCs/>
                <w:szCs w:val="21"/>
              </w:rPr>
              <w:t>培训内容及要求</w:t>
            </w:r>
          </w:p>
        </w:tc>
        <w:tc>
          <w:tcPr>
            <w:tcW w:w="4101" w:type="dxa"/>
            <w:vAlign w:val="center"/>
          </w:tcPr>
          <w:p>
            <w:pPr>
              <w:jc w:val="center"/>
              <w:rPr>
                <w:rFonts w:ascii="仿宋" w:hAnsi="仿宋" w:eastAsia="仿宋" w:cs="仿宋"/>
                <w:b/>
                <w:bCs/>
                <w:szCs w:val="21"/>
              </w:rPr>
            </w:pPr>
            <w:r>
              <w:rPr>
                <w:rFonts w:hint="eastAsia" w:ascii="仿宋" w:hAnsi="仿宋" w:eastAsia="仿宋" w:cs="仿宋"/>
                <w:b/>
                <w:bCs/>
                <w:szCs w:val="21"/>
              </w:rPr>
              <w:t>课程来源及方式</w:t>
            </w:r>
          </w:p>
        </w:tc>
        <w:tc>
          <w:tcPr>
            <w:tcW w:w="124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1112"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第一模块</w:t>
            </w:r>
          </w:p>
          <w:p>
            <w:pPr>
              <w:jc w:val="center"/>
              <w:rPr>
                <w:rFonts w:ascii="仿宋" w:hAnsi="仿宋" w:eastAsia="仿宋" w:cs="仿宋"/>
                <w:b/>
                <w:bCs/>
                <w:szCs w:val="21"/>
              </w:rPr>
            </w:pPr>
          </w:p>
          <w:p>
            <w:pPr>
              <w:jc w:val="center"/>
              <w:rPr>
                <w:rFonts w:ascii="仿宋" w:hAnsi="仿宋" w:eastAsia="仿宋" w:cs="仿宋"/>
                <w:b/>
                <w:bCs/>
                <w:szCs w:val="21"/>
              </w:rPr>
            </w:pPr>
            <w:r>
              <w:rPr>
                <w:rFonts w:hint="eastAsia" w:ascii="仿宋" w:hAnsi="仿宋" w:eastAsia="仿宋" w:cs="仿宋"/>
                <w:b/>
                <w:bCs/>
                <w:szCs w:val="21"/>
              </w:rPr>
              <w:t>线上教学</w:t>
            </w:r>
          </w:p>
        </w:tc>
        <w:tc>
          <w:tcPr>
            <w:tcW w:w="1065" w:type="dxa"/>
            <w:vMerge w:val="restart"/>
            <w:vAlign w:val="center"/>
          </w:tcPr>
          <w:p>
            <w:pPr>
              <w:spacing w:line="250" w:lineRule="exact"/>
              <w:jc w:val="center"/>
              <w:rPr>
                <w:rFonts w:ascii="仿宋" w:hAnsi="仿宋" w:eastAsia="仿宋" w:cs="仿宋"/>
                <w:szCs w:val="21"/>
              </w:rPr>
            </w:pPr>
            <w:r>
              <w:rPr>
                <w:rFonts w:hint="eastAsia" w:ascii="仿宋" w:hAnsi="仿宋" w:eastAsia="仿宋" w:cs="仿宋"/>
                <w:szCs w:val="21"/>
              </w:rPr>
              <w:t>2月26日</w:t>
            </w:r>
          </w:p>
          <w:p>
            <w:pPr>
              <w:spacing w:line="250" w:lineRule="exact"/>
              <w:jc w:val="center"/>
              <w:rPr>
                <w:rFonts w:ascii="仿宋" w:hAnsi="仿宋" w:eastAsia="仿宋" w:cs="仿宋"/>
                <w:szCs w:val="21"/>
              </w:rPr>
            </w:pPr>
            <w:r>
              <w:rPr>
                <w:rFonts w:hint="eastAsia" w:ascii="仿宋" w:hAnsi="仿宋" w:eastAsia="仿宋" w:cs="仿宋"/>
                <w:szCs w:val="21"/>
              </w:rPr>
              <w:t>——</w:t>
            </w:r>
          </w:p>
          <w:p>
            <w:pPr>
              <w:spacing w:line="250" w:lineRule="exact"/>
              <w:jc w:val="center"/>
              <w:rPr>
                <w:rFonts w:ascii="仿宋" w:hAnsi="仿宋" w:eastAsia="仿宋" w:cs="仿宋"/>
                <w:szCs w:val="21"/>
              </w:rPr>
            </w:pPr>
            <w:r>
              <w:rPr>
                <w:rFonts w:hint="eastAsia" w:ascii="仿宋" w:hAnsi="仿宋" w:eastAsia="仿宋" w:cs="仿宋"/>
                <w:szCs w:val="21"/>
              </w:rPr>
              <w:t>3月3日</w:t>
            </w:r>
          </w:p>
        </w:tc>
        <w:tc>
          <w:tcPr>
            <w:tcW w:w="1724" w:type="dxa"/>
            <w:vMerge w:val="restart"/>
            <w:vAlign w:val="center"/>
          </w:tcPr>
          <w:p>
            <w:pPr>
              <w:spacing w:line="250" w:lineRule="exact"/>
              <w:jc w:val="left"/>
              <w:rPr>
                <w:rFonts w:ascii="仿宋" w:hAnsi="仿宋" w:eastAsia="仿宋" w:cs="仿宋"/>
                <w:kern w:val="2"/>
                <w:sz w:val="21"/>
                <w:szCs w:val="21"/>
                <w:lang w:val="en-US" w:eastAsia="zh-CN" w:bidi="ar-SA"/>
              </w:rPr>
            </w:pPr>
            <w:r>
              <w:rPr>
                <w:rFonts w:hint="eastAsia" w:ascii="仿宋" w:hAnsi="仿宋" w:eastAsia="仿宋" w:cs="仿宋"/>
                <w:szCs w:val="21"/>
              </w:rPr>
              <w:t>《在线教学资源选择与应用》，共有5个小专题的讲座，教师可以根据教学需要从中选择进行学习。</w:t>
            </w:r>
          </w:p>
        </w:tc>
        <w:tc>
          <w:tcPr>
            <w:tcW w:w="1788" w:type="dxa"/>
            <w:vMerge w:val="restart"/>
            <w:vAlign w:val="center"/>
          </w:tcPr>
          <w:p>
            <w:pPr>
              <w:pStyle w:val="2"/>
              <w:widowControl/>
              <w:spacing w:beforeAutospacing="0" w:afterAutospacing="0" w:line="250" w:lineRule="exact"/>
              <w:outlineLvl w:val="2"/>
              <w:rPr>
                <w:rFonts w:hint="default" w:ascii="仿宋" w:hAnsi="仿宋" w:eastAsia="仿宋" w:cs="仿宋"/>
                <w:b/>
                <w:kern w:val="0"/>
                <w:sz w:val="21"/>
                <w:szCs w:val="21"/>
                <w:lang w:val="en-US" w:eastAsia="zh-CN" w:bidi="ar-SA"/>
              </w:rPr>
            </w:pPr>
            <w:r>
              <w:rPr>
                <w:rFonts w:ascii="仿宋" w:hAnsi="仿宋" w:eastAsia="仿宋" w:cs="仿宋"/>
                <w:b w:val="0"/>
                <w:bCs/>
                <w:color w:val="333333"/>
                <w:sz w:val="21"/>
                <w:szCs w:val="21"/>
              </w:rPr>
              <w:t>京师在线网站（北京师范大学）：基础教育教师在线教育教学能力提升培训公益项目</w:t>
            </w:r>
            <w:r>
              <w:rPr>
                <w:color w:val="C00000"/>
              </w:rPr>
              <w:fldChar w:fldCharType="begin"/>
            </w:r>
            <w:r>
              <w:rPr>
                <w:color w:val="C00000"/>
              </w:rPr>
              <w:instrText xml:space="preserve"> HYPERLINK "https://www.bnuonline.com/" \t "https://www.enaea.edu.cn/news/zx/bulletin/_blank" </w:instrText>
            </w:r>
            <w:r>
              <w:rPr>
                <w:color w:val="C00000"/>
              </w:rPr>
              <w:fldChar w:fldCharType="separate"/>
            </w:r>
            <w:r>
              <w:rPr>
                <w:rStyle w:val="6"/>
                <w:rFonts w:ascii="仿宋" w:hAnsi="仿宋" w:eastAsia="仿宋" w:cs="仿宋"/>
                <w:color w:val="C00000"/>
                <w:sz w:val="21"/>
                <w:szCs w:val="21"/>
              </w:rPr>
              <w:t>https://www.bnuonline.com/</w:t>
            </w:r>
            <w:r>
              <w:rPr>
                <w:rStyle w:val="6"/>
                <w:rFonts w:ascii="仿宋" w:hAnsi="仿宋" w:eastAsia="仿宋" w:cs="仿宋"/>
                <w:color w:val="C00000"/>
                <w:sz w:val="21"/>
                <w:szCs w:val="21"/>
              </w:rPr>
              <w:fldChar w:fldCharType="end"/>
            </w:r>
            <w:r>
              <w:rPr>
                <w:rFonts w:ascii="仿宋" w:hAnsi="仿宋" w:eastAsia="仿宋" w:cs="仿宋"/>
                <w:b w:val="0"/>
                <w:bCs/>
                <w:color w:val="C00000"/>
                <w:sz w:val="21"/>
                <w:szCs w:val="21"/>
                <w:u w:val="single"/>
              </w:rPr>
              <w:t>，</w:t>
            </w:r>
            <w:r>
              <w:rPr>
                <w:rFonts w:ascii="仿宋" w:hAnsi="仿宋" w:eastAsia="仿宋" w:cs="仿宋"/>
                <w:b w:val="0"/>
                <w:bCs/>
                <w:color w:val="000000" w:themeColor="text1"/>
                <w:sz w:val="21"/>
                <w:szCs w:val="21"/>
                <w14:textFill>
                  <w14:solidFill>
                    <w14:schemeClr w14:val="tx1"/>
                  </w14:solidFill>
                </w14:textFill>
              </w:rPr>
              <w:t>“在线教育技术”栏目，“精品微课”的</w:t>
            </w:r>
            <w:r>
              <w:rPr>
                <w:rFonts w:ascii="仿宋" w:hAnsi="仿宋" w:eastAsia="仿宋" w:cs="仿宋"/>
                <w:b w:val="0"/>
                <w:bCs/>
                <w:color w:val="333333"/>
                <w:kern w:val="2"/>
                <w:sz w:val="21"/>
                <w:szCs w:val="21"/>
                <w:lang w:bidi="ar-SA"/>
              </w:rPr>
              <w:t>“资源与微课设计与制作”板块</w:t>
            </w:r>
            <w:r>
              <w:rPr>
                <w:rFonts w:ascii="仿宋" w:hAnsi="仿宋" w:eastAsia="仿宋" w:cs="仿宋"/>
                <w:b w:val="0"/>
                <w:bCs/>
                <w:color w:val="000000" w:themeColor="text1"/>
                <w:sz w:val="21"/>
                <w:szCs w:val="21"/>
                <w14:textFill>
                  <w14:solidFill>
                    <w14:schemeClr w14:val="tx1"/>
                  </w14:solidFill>
                </w14:textFill>
              </w:rPr>
              <w:t>（有同步课件可下载）</w:t>
            </w:r>
            <w:r>
              <w:rPr>
                <w:rFonts w:ascii="仿宋" w:hAnsi="仿宋" w:eastAsia="仿宋" w:cs="仿宋"/>
                <w:b w:val="0"/>
                <w:bCs/>
                <w:color w:val="333333"/>
                <w:kern w:val="2"/>
                <w:sz w:val="21"/>
                <w:szCs w:val="21"/>
                <w:lang w:bidi="ar-SA"/>
              </w:rPr>
              <w:t>。</w:t>
            </w:r>
          </w:p>
        </w:tc>
        <w:tc>
          <w:tcPr>
            <w:tcW w:w="1432" w:type="dxa"/>
            <w:vMerge w:val="restart"/>
            <w:vAlign w:val="center"/>
          </w:tcPr>
          <w:p>
            <w:pPr>
              <w:spacing w:line="250" w:lineRule="exact"/>
              <w:jc w:val="left"/>
              <w:rPr>
                <w:rFonts w:ascii="仿宋" w:hAnsi="仿宋" w:eastAsia="仿宋" w:cs="仿宋"/>
                <w:szCs w:val="21"/>
              </w:rPr>
            </w:pPr>
            <w:r>
              <w:rPr>
                <w:rFonts w:hint="eastAsia" w:ascii="仿宋" w:hAnsi="仿宋" w:eastAsia="仿宋" w:cs="仿宋"/>
                <w:szCs w:val="21"/>
              </w:rPr>
              <w:t>围绕</w:t>
            </w:r>
            <w:r>
              <w:rPr>
                <w:rFonts w:ascii="仿宋" w:hAnsi="仿宋" w:eastAsia="仿宋" w:cs="仿宋"/>
                <w:b w:val="0"/>
                <w:bCs/>
                <w:color w:val="000000" w:themeColor="text1"/>
                <w:sz w:val="21"/>
                <w:szCs w:val="21"/>
                <w14:textFill>
                  <w14:solidFill>
                    <w14:schemeClr w14:val="tx1"/>
                  </w14:solidFill>
                </w14:textFill>
              </w:rPr>
              <w:t>“精品微课”的</w:t>
            </w:r>
            <w:r>
              <w:rPr>
                <w:rFonts w:ascii="仿宋" w:hAnsi="仿宋" w:eastAsia="仿宋" w:cs="仿宋"/>
                <w:b w:val="0"/>
                <w:bCs/>
                <w:color w:val="333333"/>
                <w:kern w:val="2"/>
                <w:sz w:val="21"/>
                <w:szCs w:val="21"/>
                <w:lang w:bidi="ar-SA"/>
              </w:rPr>
              <w:t>“资源与微课设计与制作”</w:t>
            </w:r>
            <w:r>
              <w:rPr>
                <w:rFonts w:hint="eastAsia" w:ascii="仿宋" w:hAnsi="仿宋" w:eastAsia="仿宋" w:cs="仿宋"/>
                <w:szCs w:val="21"/>
              </w:rPr>
              <w:t>设计一套检测试题，通过考试的方式检验教师的学习效果。</w:t>
            </w:r>
          </w:p>
          <w:p>
            <w:pPr>
              <w:spacing w:line="250" w:lineRule="exact"/>
              <w:jc w:val="left"/>
              <w:rPr>
                <w:rFonts w:ascii="仿宋" w:hAnsi="仿宋" w:eastAsia="仿宋" w:cs="仿宋"/>
                <w:szCs w:val="21"/>
              </w:rPr>
            </w:pPr>
          </w:p>
          <w:p>
            <w:pPr>
              <w:spacing w:line="250" w:lineRule="exact"/>
              <w:jc w:val="left"/>
              <w:rPr>
                <w:rFonts w:ascii="仿宋" w:hAnsi="仿宋" w:eastAsia="仿宋" w:cs="仿宋"/>
                <w:szCs w:val="21"/>
              </w:rPr>
            </w:pPr>
          </w:p>
        </w:tc>
        <w:tc>
          <w:tcPr>
            <w:tcW w:w="737" w:type="dxa"/>
            <w:vMerge w:val="restart"/>
            <w:vAlign w:val="center"/>
          </w:tcPr>
          <w:p>
            <w:pPr>
              <w:spacing w:line="250" w:lineRule="exact"/>
              <w:jc w:val="center"/>
              <w:rPr>
                <w:rFonts w:ascii="仿宋" w:hAnsi="仿宋" w:eastAsia="仿宋" w:cs="仿宋"/>
                <w:szCs w:val="21"/>
              </w:rPr>
            </w:pPr>
            <w:r>
              <w:rPr>
                <w:rFonts w:hint="eastAsia" w:ascii="仿宋" w:hAnsi="仿宋" w:eastAsia="仿宋" w:cs="仿宋"/>
                <w:szCs w:val="21"/>
              </w:rPr>
              <w:t>10分</w:t>
            </w:r>
          </w:p>
        </w:tc>
        <w:tc>
          <w:tcPr>
            <w:tcW w:w="1824" w:type="dxa"/>
            <w:vAlign w:val="center"/>
          </w:tcPr>
          <w:p>
            <w:pPr>
              <w:spacing w:line="250" w:lineRule="exact"/>
              <w:jc w:val="left"/>
              <w:rPr>
                <w:rFonts w:ascii="仿宋" w:hAnsi="仿宋" w:eastAsia="仿宋" w:cs="仿宋"/>
                <w:kern w:val="2"/>
                <w:sz w:val="21"/>
                <w:szCs w:val="21"/>
                <w:lang w:val="en-US" w:eastAsia="zh-CN" w:bidi="ar-SA"/>
              </w:rPr>
            </w:pPr>
            <w:r>
              <w:rPr>
                <w:rFonts w:hint="eastAsia" w:ascii="仿宋" w:hAnsi="仿宋" w:eastAsia="仿宋" w:cs="仿宋"/>
                <w:szCs w:val="21"/>
                <w:lang w:val="en-US" w:eastAsia="zh-CN"/>
              </w:rPr>
              <w:t>1</w:t>
            </w:r>
            <w:r>
              <w:rPr>
                <w:rFonts w:hint="eastAsia" w:ascii="仿宋" w:hAnsi="仿宋" w:eastAsia="仿宋" w:cs="仿宋"/>
                <w:szCs w:val="21"/>
              </w:rPr>
              <w:t>.《一线教师必备在线教学攻略》：技术平台我能用；课程资源巧加工；教学方式合理选；教学环境可把控；在线教研聚合力。</w:t>
            </w:r>
          </w:p>
        </w:tc>
        <w:tc>
          <w:tcPr>
            <w:tcW w:w="4101" w:type="dxa"/>
            <w:vAlign w:val="center"/>
          </w:tcPr>
          <w:p>
            <w:pPr>
              <w:pStyle w:val="2"/>
              <w:widowControl/>
              <w:spacing w:beforeAutospacing="0" w:afterAutospacing="0" w:line="250" w:lineRule="exact"/>
              <w:outlineLvl w:val="2"/>
              <w:rPr>
                <w:rFonts w:hint="default" w:ascii="仿宋" w:hAnsi="仿宋" w:eastAsia="仿宋" w:cs="仿宋"/>
                <w:b/>
                <w:color w:val="333333"/>
                <w:kern w:val="0"/>
                <w:sz w:val="21"/>
                <w:szCs w:val="21"/>
                <w:lang w:val="en-US" w:eastAsia="zh-CN" w:bidi="ar-SA"/>
              </w:rPr>
            </w:pPr>
            <w:r>
              <w:rPr>
                <w:rFonts w:ascii="仿宋" w:hAnsi="仿宋" w:eastAsia="仿宋" w:cs="仿宋"/>
                <w:b w:val="0"/>
                <w:kern w:val="2"/>
                <w:sz w:val="21"/>
                <w:szCs w:val="21"/>
                <w:lang w:bidi="ar-SA"/>
              </w:rPr>
              <w:t>来源：中国教育学会教师培训者联盟：</w:t>
            </w:r>
            <w:r>
              <w:rPr>
                <w:color w:val="C00000"/>
              </w:rPr>
              <w:fldChar w:fldCharType="begin"/>
            </w:r>
            <w:r>
              <w:rPr>
                <w:color w:val="C00000"/>
              </w:rPr>
              <w:instrText xml:space="preserve"> HYPERLINK "https://mp.weixin.qq.com/mp/homepage?__biz=MzIzMDU4MjgyNA==&amp;hid=1&amp;sn=a35d6de44ada1b7636f34a0efe3a4010&amp;devicetype=android-28&amp;version=27000a5d&amp;lang=zh_CN&amp;nettype=WIFI&amp;a=&amp;session_us=gh_2f3b2e3a5563&amp;wx_header=1&amp;from=timeline&amp;sub=&amp;clicktime=1581324121&amp;enterid=1" </w:instrText>
            </w:r>
            <w:r>
              <w:rPr>
                <w:color w:val="C00000"/>
              </w:rPr>
              <w:fldChar w:fldCharType="separate"/>
            </w:r>
            <w:r>
              <w:rPr>
                <w:rStyle w:val="6"/>
                <w:rFonts w:ascii="仿宋" w:hAnsi="仿宋" w:eastAsia="仿宋" w:cs="仿宋"/>
                <w:color w:val="C00000"/>
                <w:sz w:val="21"/>
                <w:szCs w:val="21"/>
              </w:rPr>
              <w:t>https://mp.weixin.qq.com/mp/homepage?__biz=MzIzMDU4MjgyNA==&amp;hid=1&amp;sn=a35d6de44ada1b7636f34a0efe3a4010&amp;devicetype=android-28&amp;version=27000a5d&amp;lang=zh_CN&amp;nettype=WIFI&amp;a=&amp;session_us=gh_2f3b2e3a5563&amp;wx_header=1&amp;from=timeline&amp;sub=&amp;clicktime=1581324121&amp;enterid=1</w:t>
            </w:r>
            <w:r>
              <w:rPr>
                <w:rStyle w:val="6"/>
                <w:rFonts w:ascii="仿宋" w:hAnsi="仿宋" w:eastAsia="仿宋" w:cs="仿宋"/>
                <w:color w:val="C00000"/>
                <w:sz w:val="21"/>
                <w:szCs w:val="21"/>
              </w:rPr>
              <w:fldChar w:fldCharType="end"/>
            </w:r>
            <w:r>
              <w:rPr>
                <w:rStyle w:val="6"/>
                <w:rFonts w:ascii="仿宋" w:hAnsi="仿宋" w:eastAsia="仿宋" w:cs="仿宋"/>
                <w:color w:val="C00000"/>
                <w:sz w:val="21"/>
                <w:szCs w:val="21"/>
              </w:rPr>
              <w:t>。</w:t>
            </w:r>
            <w:r>
              <w:rPr>
                <w:rFonts w:ascii="仿宋" w:hAnsi="仿宋" w:eastAsia="仿宋" w:cs="仿宋"/>
                <w:b w:val="0"/>
                <w:kern w:val="2"/>
                <w:sz w:val="21"/>
                <w:szCs w:val="21"/>
                <w:lang w:bidi="ar-SA"/>
              </w:rPr>
              <w:t>进修校通过中小学、幼儿园“教师研修群”转发《一线教师必备在线教学攻略》一至五期，再由单位主管领导转发到本单位“工作群”，教师便可以直接用手机阅读学习或扫码学习。</w:t>
            </w:r>
          </w:p>
        </w:tc>
        <w:tc>
          <w:tcPr>
            <w:tcW w:w="1241" w:type="dxa"/>
            <w:vMerge w:val="restart"/>
            <w:vAlign w:val="center"/>
          </w:tcPr>
          <w:p>
            <w:pPr>
              <w:spacing w:line="250" w:lineRule="exact"/>
              <w:jc w:val="left"/>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9" w:hRule="atLeast"/>
          <w:jc w:val="center"/>
        </w:trPr>
        <w:tc>
          <w:tcPr>
            <w:tcW w:w="1112" w:type="dxa"/>
            <w:vMerge w:val="continue"/>
            <w:vAlign w:val="center"/>
          </w:tcPr>
          <w:p>
            <w:pPr>
              <w:jc w:val="center"/>
              <w:rPr>
                <w:rFonts w:ascii="仿宋" w:hAnsi="仿宋" w:eastAsia="仿宋" w:cs="仿宋"/>
                <w:b/>
                <w:bCs/>
                <w:szCs w:val="21"/>
              </w:rPr>
            </w:pPr>
          </w:p>
        </w:tc>
        <w:tc>
          <w:tcPr>
            <w:tcW w:w="1065" w:type="dxa"/>
            <w:vMerge w:val="continue"/>
            <w:vAlign w:val="center"/>
          </w:tcPr>
          <w:p>
            <w:pPr>
              <w:spacing w:line="250" w:lineRule="exact"/>
              <w:jc w:val="center"/>
              <w:rPr>
                <w:rFonts w:ascii="仿宋" w:hAnsi="仿宋" w:eastAsia="仿宋" w:cs="仿宋"/>
                <w:szCs w:val="21"/>
              </w:rPr>
            </w:pPr>
          </w:p>
        </w:tc>
        <w:tc>
          <w:tcPr>
            <w:tcW w:w="1724" w:type="dxa"/>
            <w:vMerge w:val="continue"/>
            <w:vAlign w:val="center"/>
          </w:tcPr>
          <w:p>
            <w:pPr>
              <w:spacing w:line="250" w:lineRule="exact"/>
              <w:jc w:val="left"/>
              <w:rPr>
                <w:rFonts w:ascii="仿宋" w:hAnsi="仿宋" w:eastAsia="仿宋" w:cs="仿宋"/>
                <w:szCs w:val="21"/>
              </w:rPr>
            </w:pPr>
          </w:p>
        </w:tc>
        <w:tc>
          <w:tcPr>
            <w:tcW w:w="1788" w:type="dxa"/>
            <w:vMerge w:val="continue"/>
            <w:vAlign w:val="center"/>
          </w:tcPr>
          <w:p>
            <w:pPr>
              <w:spacing w:line="250" w:lineRule="exact"/>
              <w:jc w:val="left"/>
              <w:rPr>
                <w:rFonts w:ascii="仿宋" w:hAnsi="仿宋" w:eastAsia="仿宋" w:cs="仿宋"/>
                <w:color w:val="333333"/>
                <w:szCs w:val="21"/>
              </w:rPr>
            </w:pPr>
          </w:p>
        </w:tc>
        <w:tc>
          <w:tcPr>
            <w:tcW w:w="1432" w:type="dxa"/>
            <w:vMerge w:val="continue"/>
            <w:vAlign w:val="center"/>
          </w:tcPr>
          <w:p>
            <w:pPr>
              <w:spacing w:line="250" w:lineRule="exact"/>
              <w:jc w:val="left"/>
              <w:rPr>
                <w:rFonts w:ascii="仿宋" w:hAnsi="仿宋" w:eastAsia="仿宋" w:cs="仿宋"/>
                <w:szCs w:val="21"/>
              </w:rPr>
            </w:pPr>
          </w:p>
        </w:tc>
        <w:tc>
          <w:tcPr>
            <w:tcW w:w="737" w:type="dxa"/>
            <w:vMerge w:val="continue"/>
            <w:vAlign w:val="center"/>
          </w:tcPr>
          <w:p>
            <w:pPr>
              <w:spacing w:line="250" w:lineRule="exact"/>
              <w:jc w:val="center"/>
              <w:rPr>
                <w:rFonts w:ascii="仿宋" w:hAnsi="仿宋" w:eastAsia="仿宋" w:cs="仿宋"/>
                <w:szCs w:val="21"/>
              </w:rPr>
            </w:pPr>
          </w:p>
        </w:tc>
        <w:tc>
          <w:tcPr>
            <w:tcW w:w="1824" w:type="dxa"/>
            <w:vAlign w:val="center"/>
          </w:tcPr>
          <w:p>
            <w:pPr>
              <w:spacing w:line="250" w:lineRule="exact"/>
              <w:jc w:val="left"/>
              <w:rPr>
                <w:rFonts w:ascii="仿宋" w:hAnsi="仿宋" w:eastAsia="仿宋" w:cs="仿宋"/>
                <w:kern w:val="2"/>
                <w:sz w:val="21"/>
                <w:szCs w:val="21"/>
                <w:lang w:val="en-US" w:eastAsia="zh-CN" w:bidi="ar-SA"/>
              </w:rPr>
            </w:pPr>
            <w:r>
              <w:rPr>
                <w:rFonts w:hint="eastAsia" w:ascii="仿宋" w:hAnsi="仿宋" w:eastAsia="仿宋" w:cs="仿宋"/>
                <w:szCs w:val="21"/>
                <w:lang w:val="en-US" w:eastAsia="zh-CN"/>
              </w:rPr>
              <w:t>2</w:t>
            </w:r>
            <w:r>
              <w:rPr>
                <w:rFonts w:hint="eastAsia" w:ascii="仿宋" w:hAnsi="仿宋" w:eastAsia="仿宋" w:cs="仿宋"/>
                <w:szCs w:val="21"/>
              </w:rPr>
              <w:t>.小学、初中、高中课程学习资源（供各学段各年级的学生网上选学）。</w:t>
            </w:r>
          </w:p>
        </w:tc>
        <w:tc>
          <w:tcPr>
            <w:tcW w:w="4101" w:type="dxa"/>
            <w:vAlign w:val="center"/>
          </w:tcPr>
          <w:p>
            <w:pPr>
              <w:spacing w:line="250" w:lineRule="exact"/>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333333"/>
                <w:szCs w:val="21"/>
              </w:rPr>
              <w:t>1.国家中小学网络云课堂（中央电教馆）</w:t>
            </w:r>
            <w:r>
              <w:rPr>
                <w:color w:val="C00000"/>
              </w:rPr>
              <w:fldChar w:fldCharType="begin"/>
            </w:r>
            <w:r>
              <w:rPr>
                <w:color w:val="C00000"/>
              </w:rPr>
              <w:instrText xml:space="preserve"> HYPERLINK "http://ykt.eduyun.cn/" \t "https://www.enaea.edu.cn/news/zx/bulletin/_blank" </w:instrText>
            </w:r>
            <w:r>
              <w:rPr>
                <w:color w:val="C00000"/>
              </w:rPr>
              <w:fldChar w:fldCharType="separate"/>
            </w:r>
            <w:r>
              <w:rPr>
                <w:rStyle w:val="6"/>
                <w:rFonts w:hint="eastAsia" w:ascii="仿宋" w:hAnsi="仿宋" w:eastAsia="仿宋" w:cs="仿宋"/>
                <w:b/>
                <w:bCs/>
                <w:color w:val="C00000"/>
                <w:szCs w:val="21"/>
              </w:rPr>
              <w:t>http://ykt.eduyun.cn</w:t>
            </w:r>
            <w:r>
              <w:rPr>
                <w:rStyle w:val="6"/>
                <w:rFonts w:hint="eastAsia" w:ascii="仿宋" w:hAnsi="仿宋" w:eastAsia="仿宋" w:cs="仿宋"/>
                <w:b/>
                <w:bCs/>
                <w:color w:val="C00000"/>
                <w:szCs w:val="21"/>
              </w:rPr>
              <w:fldChar w:fldCharType="end"/>
            </w:r>
            <w:r>
              <w:rPr>
                <w:rFonts w:hint="eastAsia" w:ascii="仿宋" w:hAnsi="仿宋" w:eastAsia="仿宋" w:cs="仿宋"/>
                <w:color w:val="C00000"/>
                <w:szCs w:val="21"/>
                <w:u w:val="single"/>
              </w:rPr>
              <w:t>。</w:t>
            </w:r>
            <w:r>
              <w:rPr>
                <w:rFonts w:hint="eastAsia" w:ascii="仿宋" w:hAnsi="仿宋" w:eastAsia="仿宋" w:cs="仿宋"/>
                <w:color w:val="000000" w:themeColor="text1"/>
                <w:szCs w:val="21"/>
                <w14:textFill>
                  <w14:solidFill>
                    <w14:schemeClr w14:val="tx1"/>
                  </w14:solidFill>
                </w14:textFill>
              </w:rPr>
              <w:t>点击“课程学习”栏目，“请选择”初一……，便可以选课学习。</w:t>
            </w:r>
          </w:p>
          <w:p>
            <w:pPr>
              <w:spacing w:line="250" w:lineRule="exact"/>
              <w:jc w:val="left"/>
              <w:rPr>
                <w:rFonts w:hint="default"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2.小学生也可以在</w:t>
            </w:r>
            <w:r>
              <w:rPr>
                <w:rFonts w:hint="eastAsia" w:ascii="仿宋" w:hAnsi="仿宋" w:eastAsia="仿宋" w:cs="仿宋"/>
                <w:bCs/>
                <w:color w:val="000000" w:themeColor="text1"/>
                <w:kern w:val="0"/>
                <w:szCs w:val="21"/>
                <w14:textFill>
                  <w14:solidFill>
                    <w14:schemeClr w14:val="tx1"/>
                  </w14:solidFill>
                </w14:textFill>
              </w:rPr>
              <w:t>中国教育电视台四频道推出《同上一节课</w:t>
            </w:r>
            <w:r>
              <w:rPr>
                <w:rFonts w:hint="eastAsia" w:ascii="方正隶二简体" w:hAnsi="方正隶二简体" w:eastAsia="方正隶二简体" w:cs="方正隶二简体"/>
                <w:bCs/>
                <w:color w:val="000000" w:themeColor="text1"/>
                <w:kern w:val="0"/>
                <w:szCs w:val="21"/>
                <w14:textFill>
                  <w14:solidFill>
                    <w14:schemeClr w14:val="tx1"/>
                  </w14:solidFill>
                </w14:textFill>
              </w:rPr>
              <w:t></w:t>
            </w:r>
            <w:r>
              <w:rPr>
                <w:rFonts w:hint="eastAsia" w:ascii="仿宋" w:hAnsi="仿宋" w:eastAsia="仿宋" w:cs="仿宋"/>
                <w:bCs/>
                <w:color w:val="000000" w:themeColor="text1"/>
                <w:kern w:val="0"/>
                <w:szCs w:val="21"/>
                <w14:textFill>
                  <w14:solidFill>
                    <w14:schemeClr w14:val="tx1"/>
                  </w14:solidFill>
                </w14:textFill>
              </w:rPr>
              <w:t>直播课堂》进行线上学习。</w:t>
            </w:r>
          </w:p>
        </w:tc>
        <w:tc>
          <w:tcPr>
            <w:tcW w:w="1241" w:type="dxa"/>
            <w:vMerge w:val="continue"/>
            <w:vAlign w:val="center"/>
          </w:tcPr>
          <w:p>
            <w:pPr>
              <w:spacing w:line="250" w:lineRule="exact"/>
              <w:jc w:val="left"/>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1112" w:type="dxa"/>
            <w:vMerge w:val="continue"/>
            <w:vAlign w:val="center"/>
          </w:tcPr>
          <w:p>
            <w:pPr>
              <w:jc w:val="center"/>
              <w:rPr>
                <w:rFonts w:ascii="仿宋" w:hAnsi="仿宋" w:eastAsia="仿宋" w:cs="仿宋"/>
                <w:b/>
                <w:bCs/>
                <w:szCs w:val="21"/>
              </w:rPr>
            </w:pPr>
          </w:p>
        </w:tc>
        <w:tc>
          <w:tcPr>
            <w:tcW w:w="1065" w:type="dxa"/>
            <w:vMerge w:val="continue"/>
            <w:vAlign w:val="center"/>
          </w:tcPr>
          <w:p>
            <w:pPr>
              <w:spacing w:line="250" w:lineRule="exact"/>
              <w:jc w:val="center"/>
              <w:rPr>
                <w:rFonts w:ascii="仿宋" w:hAnsi="仿宋" w:eastAsia="仿宋" w:cs="仿宋"/>
                <w:szCs w:val="21"/>
              </w:rPr>
            </w:pPr>
          </w:p>
        </w:tc>
        <w:tc>
          <w:tcPr>
            <w:tcW w:w="1724" w:type="dxa"/>
            <w:vMerge w:val="continue"/>
            <w:vAlign w:val="center"/>
          </w:tcPr>
          <w:p>
            <w:pPr>
              <w:spacing w:line="250" w:lineRule="exact"/>
              <w:jc w:val="left"/>
              <w:rPr>
                <w:rFonts w:ascii="仿宋" w:hAnsi="仿宋" w:eastAsia="仿宋" w:cs="仿宋"/>
                <w:szCs w:val="21"/>
              </w:rPr>
            </w:pPr>
          </w:p>
        </w:tc>
        <w:tc>
          <w:tcPr>
            <w:tcW w:w="1788" w:type="dxa"/>
            <w:vMerge w:val="continue"/>
            <w:vAlign w:val="center"/>
          </w:tcPr>
          <w:p>
            <w:pPr>
              <w:spacing w:line="250" w:lineRule="exact"/>
              <w:jc w:val="left"/>
              <w:rPr>
                <w:rFonts w:ascii="仿宋" w:hAnsi="仿宋" w:eastAsia="仿宋" w:cs="仿宋"/>
                <w:szCs w:val="21"/>
              </w:rPr>
            </w:pPr>
          </w:p>
        </w:tc>
        <w:tc>
          <w:tcPr>
            <w:tcW w:w="1432" w:type="dxa"/>
            <w:vMerge w:val="continue"/>
            <w:vAlign w:val="center"/>
          </w:tcPr>
          <w:p>
            <w:pPr>
              <w:spacing w:line="250" w:lineRule="exact"/>
              <w:jc w:val="left"/>
              <w:rPr>
                <w:rFonts w:ascii="仿宋" w:hAnsi="仿宋" w:eastAsia="仿宋" w:cs="仿宋"/>
                <w:szCs w:val="21"/>
              </w:rPr>
            </w:pPr>
          </w:p>
        </w:tc>
        <w:tc>
          <w:tcPr>
            <w:tcW w:w="737" w:type="dxa"/>
            <w:vMerge w:val="continue"/>
            <w:vAlign w:val="center"/>
          </w:tcPr>
          <w:p>
            <w:pPr>
              <w:spacing w:line="250" w:lineRule="exact"/>
              <w:jc w:val="left"/>
              <w:rPr>
                <w:rFonts w:ascii="仿宋" w:hAnsi="仿宋" w:eastAsia="仿宋" w:cs="仿宋"/>
                <w:szCs w:val="21"/>
              </w:rPr>
            </w:pPr>
          </w:p>
        </w:tc>
        <w:tc>
          <w:tcPr>
            <w:tcW w:w="1824" w:type="dxa"/>
            <w:vAlign w:val="center"/>
          </w:tcPr>
          <w:p>
            <w:pPr>
              <w:spacing w:line="250" w:lineRule="exact"/>
              <w:jc w:val="left"/>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3.</w:t>
            </w:r>
            <w:r>
              <w:rPr>
                <w:rFonts w:hint="eastAsia" w:ascii="仿宋" w:hAnsi="仿宋" w:eastAsia="仿宋" w:cs="仿宋"/>
                <w:color w:val="000000" w:themeColor="text1"/>
                <w:szCs w:val="21"/>
                <w:lang w:eastAsia="zh-CN"/>
                <w14:textFill>
                  <w14:solidFill>
                    <w14:schemeClr w14:val="tx1"/>
                  </w14:solidFill>
                </w14:textFill>
              </w:rPr>
              <w:t>初中学科线上教学指导建议和课程资源推荐目录。</w:t>
            </w:r>
          </w:p>
        </w:tc>
        <w:tc>
          <w:tcPr>
            <w:tcW w:w="4101" w:type="dxa"/>
            <w:vAlign w:val="center"/>
          </w:tcPr>
          <w:p>
            <w:pPr>
              <w:spacing w:line="250" w:lineRule="exact"/>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来源：《黑龙江省教师发展学院关于印发疫情防控期间全省初中学科线上教学指导建议和课程资源推荐目录的通知》（黑教院函</w:t>
            </w:r>
            <w:r>
              <w:rPr>
                <w:rFonts w:hint="eastAsia" w:ascii="仿宋" w:hAnsi="仿宋" w:eastAsia="仿宋" w:cs="仿宋"/>
                <w:color w:val="000000" w:themeColor="text1"/>
                <w:szCs w:val="21"/>
                <w:lang w:val="en-US" w:eastAsia="zh-CN"/>
                <w14:textFill>
                  <w14:solidFill>
                    <w14:schemeClr w14:val="tx1"/>
                  </w14:solidFill>
                </w14:textFill>
              </w:rPr>
              <w:t>[2020]9号</w:t>
            </w:r>
            <w:r>
              <w:rPr>
                <w:rFonts w:hint="eastAsia" w:ascii="仿宋" w:hAnsi="仿宋" w:eastAsia="仿宋" w:cs="仿宋"/>
                <w:color w:val="000000" w:themeColor="text1"/>
                <w:szCs w:val="21"/>
                <w:lang w:eastAsia="zh-CN"/>
                <w14:textFill>
                  <w14:solidFill>
                    <w14:schemeClr w14:val="tx1"/>
                  </w14:solidFill>
                </w14:textFill>
              </w:rPr>
              <w:t>）。</w:t>
            </w:r>
            <w:r>
              <w:rPr>
                <w:rFonts w:hint="eastAsia" w:ascii="仿宋" w:hAnsi="仿宋" w:eastAsia="仿宋" w:cs="仿宋"/>
                <w:b/>
                <w:bCs/>
                <w:color w:val="C00000"/>
                <w:szCs w:val="21"/>
                <w:lang w:eastAsia="zh-CN"/>
              </w:rPr>
              <w:t>资源在“研训群”发布。</w:t>
            </w:r>
          </w:p>
        </w:tc>
        <w:tc>
          <w:tcPr>
            <w:tcW w:w="1241" w:type="dxa"/>
            <w:vAlign w:val="center"/>
          </w:tcPr>
          <w:p>
            <w:pPr>
              <w:spacing w:line="250" w:lineRule="exact"/>
              <w:jc w:val="left"/>
              <w:rPr>
                <w:rFonts w:ascii="仿宋" w:hAnsi="仿宋" w:eastAsia="仿宋" w:cs="仿宋"/>
                <w:szCs w:val="21"/>
              </w:rPr>
            </w:pPr>
          </w:p>
        </w:tc>
      </w:tr>
    </w:tbl>
    <w:p>
      <w:pPr>
        <w:rPr>
          <w:rFonts w:hint="eastAsia" w:ascii="楷体" w:hAnsi="楷体" w:eastAsia="楷体" w:cs="楷体"/>
          <w:lang w:val="en-US" w:eastAsia="zh-CN"/>
        </w:rPr>
      </w:pPr>
      <w:r>
        <w:rPr>
          <w:rFonts w:hint="eastAsia" w:ascii="黑体" w:hAnsi="黑体" w:eastAsia="黑体" w:cs="黑体"/>
          <w:b/>
          <w:bCs/>
          <w:lang w:eastAsia="zh-CN"/>
        </w:rPr>
        <w:t>五步骤：</w:t>
      </w:r>
      <w:r>
        <w:rPr>
          <w:rFonts w:hint="eastAsia" w:ascii="楷体" w:hAnsi="楷体" w:eastAsia="楷体" w:cs="楷体"/>
          <w:lang w:eastAsia="zh-CN"/>
        </w:rPr>
        <w:t>“选”（平台、资源、方式）、</w:t>
      </w:r>
      <w:r>
        <w:rPr>
          <w:rFonts w:hint="eastAsia" w:ascii="楷体" w:hAnsi="楷体" w:eastAsia="楷体" w:cs="楷体"/>
          <w:lang w:val="en-US" w:eastAsia="zh-CN"/>
        </w:rPr>
        <w:t>“学”（文件、讲座、课例）、“记”（记录、记忆）、“用”（指导、教学、实践）、“评”（检测、反思、考核）。</w:t>
      </w:r>
    </w:p>
    <w:p>
      <w:r>
        <w:rPr>
          <w:rFonts w:hint="eastAsia" w:ascii="黑体" w:hAnsi="黑体" w:eastAsia="黑体" w:cs="黑体"/>
          <w:b/>
          <w:bCs/>
          <w:lang w:val="en-US" w:eastAsia="zh-CN"/>
        </w:rPr>
        <w:t>五结合：</w:t>
      </w:r>
      <w:r>
        <w:rPr>
          <w:rFonts w:hint="eastAsia" w:ascii="楷体" w:hAnsi="楷体" w:eastAsia="楷体" w:cs="楷体"/>
          <w:lang w:val="en-US" w:eastAsia="zh-CN"/>
        </w:rPr>
        <w:t>必修课程与选修课程，线上培训与校本研修，教师参训与学生学习，主题培训与问题研究，效果考评与学时认定。</w:t>
      </w:r>
      <w:bookmarkStart w:id="0" w:name="_GoBack"/>
      <w:bookmarkEnd w:id="0"/>
    </w:p>
    <w:sectPr>
      <w:pgSz w:w="16838" w:h="11906" w:orient="landscape"/>
      <w:pgMar w:top="1134" w:right="850" w:bottom="1134" w:left="85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隶二简体">
    <w:altName w:val="宋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DC4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FollowedHyperlink"/>
    <w:basedOn w:val="5"/>
    <w:qFormat/>
    <w:uiPriority w:val="0"/>
    <w:rPr>
      <w:color w:val="800080"/>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ycc</dc:creator>
  <cp:lastModifiedBy>ycc</cp:lastModifiedBy>
  <dcterms:modified xsi:type="dcterms:W3CDTF">2020-03-02T07:09:09Z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