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jc w:val="center"/>
        <w:rPr>
          <w:rFonts w:ascii="黑体" w:cs="黑体" w:eastAsia="黑体" w:hAnsi="黑体" w:hint="eastAsia"/>
          <w:b/>
          <w:bCs/>
          <w:sz w:val="44"/>
          <w:szCs w:val="52"/>
          <w:lang w:eastAsia="zh-CN"/>
        </w:rPr>
      </w:pPr>
      <w:r>
        <w:rPr>
          <w:rFonts w:ascii="黑体" w:cs="黑体" w:hAnsi="黑体" w:hint="eastAsia"/>
          <w:b/>
          <w:bCs/>
          <w:sz w:val="44"/>
          <w:szCs w:val="52"/>
          <w:lang w:eastAsia="zh-CN"/>
        </w:rPr>
        <w:t>奋斗</w:t>
      </w:r>
      <w:r>
        <w:rPr>
          <w:rFonts w:ascii="黑体" w:cs="黑体" w:eastAsia="黑体" w:hAnsi="黑体" w:hint="eastAsia"/>
          <w:b/>
          <w:bCs/>
          <w:sz w:val="44"/>
          <w:szCs w:val="52"/>
          <w:lang w:eastAsia="zh-CN"/>
        </w:rPr>
        <w:t>幼儿园</w:t>
      </w:r>
      <w:r>
        <w:rPr>
          <w:rFonts w:ascii="黑体" w:cs="黑体" w:eastAsia="黑体" w:hAnsi="黑体" w:hint="eastAsia"/>
          <w:b/>
          <w:bCs/>
          <w:sz w:val="44"/>
          <w:szCs w:val="52"/>
        </w:rPr>
        <w:t>2019-2020第二学期教师教育教学能力提升线上培训实施计划</w:t>
      </w:r>
      <w:r>
        <w:rPr>
          <w:rFonts w:ascii="黑体" w:cs="黑体" w:eastAsia="黑体" w:hAnsi="黑体" w:hint="eastAsia"/>
          <w:b/>
          <w:bCs/>
          <w:sz w:val="44"/>
          <w:szCs w:val="52"/>
          <w:lang w:eastAsia="zh-CN"/>
        </w:rPr>
        <w:t>（一）</w:t>
      </w:r>
    </w:p>
    <w:tbl>
      <w:tblPr>
        <w:tblStyle w:val="style154"/>
        <w:tblW w:w="150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2"/>
        <w:gridCol w:w="1065"/>
        <w:gridCol w:w="1390"/>
        <w:gridCol w:w="2122"/>
        <w:gridCol w:w="1432"/>
        <w:gridCol w:w="737"/>
        <w:gridCol w:w="1824"/>
        <w:gridCol w:w="4101"/>
        <w:gridCol w:w="1241"/>
      </w:tblGrid>
      <w:tr>
        <w:trPr>
          <w:trHeight w:val="267" w:hRule="atLeast"/>
          <w:jc w:val="center"/>
        </w:trPr>
        <w:tc>
          <w:tcPr>
            <w:tcW w:w="1112" w:type="dxa"/>
            <w:vMerge w:val="restart"/>
            <w:tcBorders/>
            <w:vAlign w:val="center"/>
          </w:tcPr>
          <w:p>
            <w:pPr>
              <w:pStyle w:val="style0"/>
              <w:jc w:val="center"/>
              <w:rPr>
                <w:rFonts w:ascii="仿宋" w:cs="仿宋" w:eastAsia="仿宋" w:hAnsi="仿宋"/>
                <w:b/>
                <w:bCs/>
                <w:szCs w:val="21"/>
              </w:rPr>
            </w:pPr>
            <w:r>
              <w:rPr>
                <w:rFonts w:ascii="仿宋" w:cs="仿宋" w:eastAsia="仿宋" w:hAnsi="仿宋" w:hint="eastAsia"/>
                <w:b/>
                <w:bCs/>
                <w:szCs w:val="21"/>
              </w:rPr>
              <w:t>模  块</w:t>
            </w:r>
          </w:p>
        </w:tc>
        <w:tc>
          <w:tcPr>
            <w:tcW w:w="1065" w:type="dxa"/>
            <w:vMerge w:val="restart"/>
            <w:tcBorders/>
            <w:vAlign w:val="center"/>
          </w:tcPr>
          <w:p>
            <w:pPr>
              <w:pStyle w:val="style0"/>
              <w:jc w:val="center"/>
              <w:rPr>
                <w:rFonts w:ascii="仿宋" w:cs="仿宋" w:eastAsia="仿宋" w:hAnsi="仿宋"/>
                <w:b/>
                <w:bCs/>
                <w:szCs w:val="21"/>
              </w:rPr>
            </w:pPr>
            <w:r>
              <w:rPr>
                <w:rFonts w:ascii="仿宋" w:cs="仿宋" w:eastAsia="仿宋" w:hAnsi="仿宋" w:hint="eastAsia"/>
                <w:b/>
                <w:bCs/>
                <w:szCs w:val="21"/>
              </w:rPr>
              <w:t>培训时间</w:t>
            </w:r>
          </w:p>
        </w:tc>
        <w:tc>
          <w:tcPr>
            <w:tcW w:w="5681" w:type="dxa"/>
            <w:gridSpan w:val="4"/>
            <w:tcBorders/>
            <w:vAlign w:val="center"/>
          </w:tcPr>
          <w:p>
            <w:pPr>
              <w:pStyle w:val="style0"/>
              <w:jc w:val="center"/>
              <w:rPr>
                <w:rFonts w:ascii="仿宋" w:cs="仿宋" w:eastAsia="仿宋" w:hAnsi="仿宋"/>
                <w:b/>
                <w:bCs/>
                <w:szCs w:val="21"/>
              </w:rPr>
            </w:pPr>
            <w:r>
              <w:rPr>
                <w:rFonts w:ascii="仿宋" w:cs="仿宋" w:eastAsia="仿宋" w:hAnsi="仿宋" w:hint="eastAsia"/>
                <w:b/>
                <w:bCs/>
                <w:szCs w:val="21"/>
              </w:rPr>
              <w:t>必修课程</w:t>
            </w:r>
          </w:p>
        </w:tc>
        <w:tc>
          <w:tcPr>
            <w:tcW w:w="5925" w:type="dxa"/>
            <w:gridSpan w:val="2"/>
            <w:tcBorders/>
            <w:vAlign w:val="center"/>
          </w:tcPr>
          <w:p>
            <w:pPr>
              <w:pStyle w:val="style0"/>
              <w:jc w:val="center"/>
              <w:rPr>
                <w:rFonts w:ascii="仿宋" w:cs="仿宋" w:eastAsia="仿宋" w:hAnsi="仿宋"/>
                <w:b/>
                <w:bCs/>
                <w:szCs w:val="21"/>
              </w:rPr>
            </w:pPr>
            <w:r>
              <w:rPr>
                <w:rFonts w:ascii="仿宋" w:cs="仿宋" w:eastAsia="仿宋" w:hAnsi="仿宋" w:hint="eastAsia"/>
                <w:b/>
                <w:bCs/>
                <w:szCs w:val="21"/>
              </w:rPr>
              <w:t>选修课程</w:t>
            </w:r>
          </w:p>
        </w:tc>
        <w:tc>
          <w:tcPr>
            <w:tcW w:w="1241" w:type="dxa"/>
            <w:vMerge w:val="restart"/>
            <w:tcBorders/>
            <w:vAlign w:val="center"/>
          </w:tcPr>
          <w:p>
            <w:pPr>
              <w:pStyle w:val="style0"/>
              <w:jc w:val="center"/>
              <w:rPr>
                <w:rFonts w:ascii="仿宋" w:cs="仿宋" w:eastAsia="仿宋" w:hAnsi="仿宋"/>
                <w:b/>
                <w:bCs/>
                <w:szCs w:val="21"/>
              </w:rPr>
            </w:pPr>
            <w:r>
              <w:rPr>
                <w:rFonts w:ascii="仿宋" w:cs="仿宋" w:eastAsia="仿宋" w:hAnsi="仿宋" w:hint="eastAsia"/>
                <w:b/>
                <w:bCs/>
                <w:szCs w:val="21"/>
              </w:rPr>
              <w:t>备注</w:t>
            </w:r>
          </w:p>
        </w:tc>
      </w:tr>
      <w:tr>
        <w:tblPrEx/>
        <w:trPr>
          <w:trHeight w:val="267" w:hRule="atLeast"/>
          <w:jc w:val="center"/>
        </w:trPr>
        <w:tc>
          <w:tcPr>
            <w:tcW w:w="1112" w:type="dxa"/>
            <w:vMerge w:val="continue"/>
            <w:tcBorders/>
            <w:vAlign w:val="center"/>
          </w:tcPr>
          <w:p>
            <w:pPr>
              <w:pStyle w:val="style0"/>
              <w:jc w:val="center"/>
              <w:rPr>
                <w:rFonts w:ascii="仿宋" w:cs="仿宋" w:eastAsia="仿宋" w:hAnsi="仿宋"/>
                <w:b/>
                <w:bCs/>
                <w:szCs w:val="21"/>
              </w:rPr>
            </w:pPr>
          </w:p>
        </w:tc>
        <w:tc>
          <w:tcPr>
            <w:tcW w:w="1065" w:type="dxa"/>
            <w:vMerge w:val="continue"/>
            <w:tcBorders/>
            <w:vAlign w:val="center"/>
          </w:tcPr>
          <w:p>
            <w:pPr>
              <w:pStyle w:val="style0"/>
              <w:jc w:val="center"/>
              <w:rPr>
                <w:rFonts w:ascii="仿宋" w:cs="仿宋" w:eastAsia="仿宋" w:hAnsi="仿宋"/>
                <w:b/>
                <w:bCs/>
                <w:szCs w:val="21"/>
              </w:rPr>
            </w:pPr>
          </w:p>
        </w:tc>
        <w:tc>
          <w:tcPr>
            <w:tcW w:w="1390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cs="仿宋" w:eastAsia="仿宋" w:hAnsi="仿宋"/>
                <w:b/>
                <w:bCs/>
                <w:szCs w:val="21"/>
              </w:rPr>
            </w:pPr>
            <w:r>
              <w:rPr>
                <w:rFonts w:ascii="仿宋" w:cs="仿宋" w:eastAsia="仿宋" w:hAnsi="仿宋" w:hint="eastAsia"/>
                <w:b/>
                <w:bCs/>
                <w:szCs w:val="21"/>
              </w:rPr>
              <w:t>培训内容及时长</w:t>
            </w:r>
          </w:p>
        </w:tc>
        <w:tc>
          <w:tcPr>
            <w:tcW w:w="2122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cs="仿宋" w:eastAsia="仿宋" w:hAnsi="仿宋"/>
                <w:b/>
                <w:bCs/>
                <w:szCs w:val="21"/>
              </w:rPr>
            </w:pPr>
            <w:r>
              <w:rPr>
                <w:rFonts w:ascii="仿宋" w:cs="仿宋" w:eastAsia="仿宋" w:hAnsi="仿宋" w:hint="eastAsia"/>
                <w:b/>
                <w:bCs/>
                <w:szCs w:val="21"/>
              </w:rPr>
              <w:t>课程来源及方式</w:t>
            </w:r>
          </w:p>
        </w:tc>
        <w:tc>
          <w:tcPr>
            <w:tcW w:w="2169" w:type="dxa"/>
            <w:gridSpan w:val="2"/>
            <w:tcBorders/>
            <w:vAlign w:val="center"/>
          </w:tcPr>
          <w:p>
            <w:pPr>
              <w:pStyle w:val="style0"/>
              <w:jc w:val="center"/>
              <w:rPr>
                <w:rFonts w:ascii="仿宋" w:cs="仿宋" w:eastAsia="仿宋" w:hAnsi="仿宋"/>
                <w:b/>
                <w:bCs/>
                <w:szCs w:val="21"/>
              </w:rPr>
            </w:pPr>
            <w:r>
              <w:rPr>
                <w:rFonts w:ascii="仿宋" w:cs="仿宋" w:eastAsia="仿宋" w:hAnsi="仿宋" w:hint="eastAsia"/>
                <w:b/>
                <w:bCs/>
                <w:szCs w:val="21"/>
              </w:rPr>
              <w:t>研修作业及考评</w:t>
            </w:r>
          </w:p>
        </w:tc>
        <w:tc>
          <w:tcPr>
            <w:tcW w:w="1824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cs="仿宋" w:eastAsia="仿宋" w:hAnsi="仿宋"/>
                <w:b/>
                <w:bCs/>
                <w:szCs w:val="21"/>
              </w:rPr>
            </w:pPr>
            <w:r>
              <w:rPr>
                <w:rFonts w:ascii="仿宋" w:cs="仿宋" w:eastAsia="仿宋" w:hAnsi="仿宋" w:hint="eastAsia"/>
                <w:b/>
                <w:bCs/>
                <w:szCs w:val="21"/>
              </w:rPr>
              <w:t>培训内容及要求</w:t>
            </w:r>
          </w:p>
        </w:tc>
        <w:tc>
          <w:tcPr>
            <w:tcW w:w="4101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cs="仿宋" w:eastAsia="仿宋" w:hAnsi="仿宋"/>
                <w:b/>
                <w:bCs/>
                <w:szCs w:val="21"/>
              </w:rPr>
            </w:pPr>
            <w:r>
              <w:rPr>
                <w:rFonts w:ascii="仿宋" w:cs="仿宋" w:eastAsia="仿宋" w:hAnsi="仿宋" w:hint="eastAsia"/>
                <w:b/>
                <w:bCs/>
                <w:szCs w:val="21"/>
              </w:rPr>
              <w:t>课程来源及方式</w:t>
            </w:r>
          </w:p>
        </w:tc>
        <w:tc>
          <w:tcPr>
            <w:tcW w:w="1241" w:type="dxa"/>
            <w:vMerge w:val="continue"/>
            <w:tcBorders/>
            <w:vAlign w:val="center"/>
          </w:tcPr>
          <w:p>
            <w:pPr>
              <w:pStyle w:val="style0"/>
              <w:jc w:val="center"/>
              <w:rPr>
                <w:rFonts w:ascii="仿宋" w:cs="仿宋" w:eastAsia="仿宋" w:hAnsi="仿宋"/>
                <w:szCs w:val="21"/>
              </w:rPr>
            </w:pPr>
          </w:p>
        </w:tc>
      </w:tr>
      <w:tr>
        <w:tblPrEx/>
        <w:trPr>
          <w:trHeight w:val="7610" w:hRule="atLeast"/>
          <w:jc w:val="center"/>
        </w:trPr>
        <w:tc>
          <w:tcPr>
            <w:tcW w:w="1112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cs="仿宋" w:eastAsia="仿宋" w:hAnsi="仿宋"/>
                <w:b/>
                <w:bCs/>
                <w:szCs w:val="21"/>
              </w:rPr>
            </w:pPr>
            <w:r>
              <w:rPr>
                <w:rFonts w:ascii="仿宋" w:cs="仿宋" w:eastAsia="仿宋" w:hAnsi="仿宋" w:hint="eastAsia"/>
                <w:b/>
                <w:bCs/>
                <w:szCs w:val="21"/>
              </w:rPr>
              <w:t>第一模块</w:t>
            </w:r>
          </w:p>
          <w:p>
            <w:pPr>
              <w:pStyle w:val="style0"/>
              <w:jc w:val="center"/>
              <w:rPr>
                <w:rFonts w:ascii="仿宋" w:cs="仿宋" w:eastAsia="仿宋" w:hAnsi="仿宋"/>
                <w:b/>
                <w:bCs/>
                <w:szCs w:val="21"/>
              </w:rPr>
            </w:pPr>
          </w:p>
          <w:p>
            <w:pPr>
              <w:pStyle w:val="style0"/>
              <w:jc w:val="center"/>
              <w:rPr>
                <w:rFonts w:ascii="仿宋" w:cs="仿宋" w:eastAsia="仿宋" w:hAnsi="仿宋"/>
                <w:b/>
                <w:bCs/>
                <w:szCs w:val="21"/>
              </w:rPr>
            </w:pPr>
            <w:r>
              <w:rPr>
                <w:rFonts w:ascii="仿宋" w:cs="仿宋" w:eastAsia="仿宋" w:hAnsi="仿宋" w:hint="eastAsia"/>
                <w:b/>
                <w:bCs/>
                <w:szCs w:val="21"/>
              </w:rPr>
              <w:t>线上教学</w:t>
            </w:r>
          </w:p>
        </w:tc>
        <w:tc>
          <w:tcPr>
            <w:tcW w:w="1065" w:type="dxa"/>
            <w:tcBorders/>
            <w:vAlign w:val="center"/>
          </w:tcPr>
          <w:p>
            <w:pPr>
              <w:pStyle w:val="style0"/>
              <w:spacing w:lineRule="exact" w:line="250"/>
              <w:jc w:val="center"/>
              <w:rPr>
                <w:rFonts w:ascii="仿宋" w:cs="仿宋" w:eastAsia="仿宋" w:hAnsi="仿宋"/>
                <w:szCs w:val="21"/>
              </w:rPr>
            </w:pPr>
            <w:r>
              <w:rPr>
                <w:rFonts w:ascii="仿宋" w:cs="仿宋" w:eastAsia="仿宋" w:hAnsi="仿宋" w:hint="eastAsia"/>
                <w:szCs w:val="21"/>
              </w:rPr>
              <w:t>2月26日</w:t>
            </w:r>
          </w:p>
          <w:p>
            <w:pPr>
              <w:pStyle w:val="style0"/>
              <w:spacing w:lineRule="exact" w:line="250"/>
              <w:jc w:val="center"/>
              <w:rPr>
                <w:rFonts w:ascii="仿宋" w:cs="仿宋" w:eastAsia="仿宋" w:hAnsi="仿宋"/>
                <w:szCs w:val="21"/>
              </w:rPr>
            </w:pPr>
            <w:r>
              <w:rPr>
                <w:rFonts w:ascii="仿宋" w:cs="仿宋" w:eastAsia="仿宋" w:hAnsi="仿宋" w:hint="eastAsia"/>
                <w:szCs w:val="21"/>
              </w:rPr>
              <w:t>——</w:t>
            </w:r>
          </w:p>
          <w:p>
            <w:pPr>
              <w:pStyle w:val="style0"/>
              <w:spacing w:lineRule="exact" w:line="250"/>
              <w:jc w:val="center"/>
              <w:rPr>
                <w:rFonts w:ascii="仿宋" w:cs="仿宋" w:eastAsia="仿宋" w:hAnsi="仿宋"/>
                <w:szCs w:val="21"/>
              </w:rPr>
            </w:pPr>
            <w:r>
              <w:rPr>
                <w:rFonts w:ascii="仿宋" w:cs="仿宋" w:eastAsia="仿宋" w:hAnsi="仿宋" w:hint="eastAsia"/>
                <w:szCs w:val="21"/>
              </w:rPr>
              <w:t>3月3日</w:t>
            </w:r>
          </w:p>
        </w:tc>
        <w:tc>
          <w:tcPr>
            <w:tcW w:w="1390" w:type="dxa"/>
            <w:tcBorders/>
            <w:vAlign w:val="center"/>
          </w:tcPr>
          <w:p>
            <w:pPr>
              <w:pStyle w:val="style0"/>
              <w:spacing w:lineRule="exact" w:line="250"/>
              <w:jc w:val="left"/>
              <w:rPr>
                <w:rFonts w:ascii="仿宋" w:cs="仿宋" w:eastAsia="仿宋" w:hAnsi="仿宋"/>
                <w:szCs w:val="21"/>
              </w:rPr>
            </w:pPr>
            <w:r>
              <w:rPr>
                <w:rFonts w:ascii="仿宋" w:cs="仿宋" w:eastAsia="仿宋" w:hAnsi="仿宋" w:hint="default"/>
                <w:szCs w:val="21"/>
              </w:rPr>
              <w:t>《在线教学资源选择与应用》，共有5个小专题的讲座，教师可以根据教学需要从中选择进</w:t>
            </w:r>
            <w:r>
              <w:rPr>
                <w:rFonts w:ascii="仿宋" w:cs="仿宋" w:eastAsia="仿宋" w:hAnsi="仿宋" w:hint="default"/>
                <w:szCs w:val="21"/>
              </w:rPr>
              <w:t>行学</w:t>
            </w:r>
            <w:r>
              <w:rPr>
                <w:rFonts w:ascii="仿宋" w:cs="仿宋" w:eastAsia="仿宋" w:hAnsi="仿宋" w:hint="default"/>
                <w:szCs w:val="21"/>
                <w:lang w:eastAsia="zh-CN"/>
              </w:rPr>
              <w:t>习。</w:t>
            </w:r>
            <w:r>
              <w:rPr>
                <w:rFonts w:ascii="仿宋" w:cs="仿宋" w:eastAsia="仿宋" w:hAnsi="仿宋" w:hint="default"/>
                <w:szCs w:val="21"/>
              </w:rPr>
              <w:t>技术平台我能用；课程资源巧加工；教学方式合理选；教学环境可把控；在线教研聚合力</w:t>
            </w:r>
          </w:p>
        </w:tc>
        <w:tc>
          <w:tcPr>
            <w:tcW w:w="2122" w:type="dxa"/>
            <w:tcBorders/>
            <w:vAlign w:val="center"/>
          </w:tcPr>
          <w:p>
            <w:pPr>
              <w:pStyle w:val="style0"/>
              <w:spacing w:lineRule="exact" w:line="250"/>
              <w:jc w:val="left"/>
              <w:rPr>
                <w:rFonts w:ascii="仿宋" w:cs="仿宋" w:eastAsia="仿宋" w:hAnsi="仿宋"/>
                <w:szCs w:val="21"/>
              </w:rPr>
            </w:pPr>
            <w:r>
              <w:rPr>
                <w:rFonts w:ascii="仿宋" w:cs="仿宋" w:eastAsia="仿宋" w:hAnsi="仿宋" w:hint="default"/>
                <w:b w:val="false"/>
                <w:bCs w:val="false"/>
                <w:color w:val="333333"/>
                <w:sz w:val="21"/>
                <w:szCs w:val="21"/>
              </w:rPr>
              <w:t>京师在线网站（北京师范大学）：基础教育教师在线教育教学能力提升培训公益项目</w:t>
            </w:r>
            <w:r>
              <w:rPr>
                <w:rStyle w:val="style86"/>
                <w:rFonts w:ascii="仿宋" w:cs="仿宋" w:eastAsia="仿宋" w:hAnsi="仿宋" w:hint="default"/>
                <w:color w:val="c00000"/>
                <w:sz w:val="21"/>
                <w:szCs w:val="21"/>
              </w:rPr>
              <w:t>https://www.bnuonline.com/</w:t>
            </w:r>
            <w:r>
              <w:rPr>
                <w:rFonts w:ascii="仿宋" w:cs="仿宋" w:eastAsia="仿宋" w:hAnsi="仿宋" w:hint="default"/>
                <w:b w:val="false"/>
                <w:bCs w:val="false"/>
                <w:color w:val="c00000"/>
                <w:sz w:val="21"/>
                <w:szCs w:val="21"/>
                <w:u w:val="single"/>
              </w:rPr>
              <w:t>，</w:t>
            </w:r>
            <w:r>
              <w:rPr>
                <w:rFonts w:ascii="仿宋" w:cs="仿宋" w:eastAsia="仿宋" w:hAnsi="仿宋" w:hint="default"/>
                <w:b w:val="false"/>
                <w:bCs w:val="false"/>
                <w:color w:val="000000"/>
                <w:sz w:val="21"/>
                <w:szCs w:val="21"/>
              </w:rPr>
              <w:t>“在线教育技术”栏目，“精品微课”的</w:t>
            </w:r>
            <w:r>
              <w:rPr>
                <w:rFonts w:ascii="仿宋" w:cs="仿宋" w:eastAsia="仿宋" w:hAnsi="仿宋" w:hint="default"/>
                <w:b w:val="false"/>
                <w:bCs w:val="false"/>
                <w:color w:val="333333"/>
                <w:kern w:val="2"/>
                <w:sz w:val="21"/>
                <w:szCs w:val="21"/>
                <w:lang w:bidi="ar-SA"/>
              </w:rPr>
              <w:t>“资源与微课设计与制作”板块</w:t>
            </w:r>
            <w:r>
              <w:rPr>
                <w:rFonts w:ascii="仿宋" w:cs="仿宋" w:eastAsia="仿宋" w:hAnsi="仿宋" w:hint="default"/>
                <w:b w:val="false"/>
                <w:bCs w:val="false"/>
                <w:color w:val="000000"/>
                <w:sz w:val="21"/>
                <w:szCs w:val="21"/>
              </w:rPr>
              <w:t>（有同步课件可下载）</w:t>
            </w:r>
            <w:r>
              <w:rPr>
                <w:rFonts w:ascii="仿宋" w:cs="仿宋" w:eastAsia="仿宋" w:hAnsi="仿宋" w:hint="default"/>
                <w:b w:val="false"/>
                <w:bCs w:val="false"/>
                <w:color w:val="333333"/>
                <w:kern w:val="2"/>
                <w:sz w:val="21"/>
                <w:szCs w:val="21"/>
                <w:lang w:bidi="ar-SA"/>
              </w:rPr>
              <w:t>。</w:t>
            </w:r>
          </w:p>
        </w:tc>
        <w:tc>
          <w:tcPr>
            <w:tcW w:w="1432" w:type="dxa"/>
            <w:tcBorders/>
            <w:vAlign w:val="center"/>
          </w:tcPr>
          <w:p>
            <w:pPr>
              <w:pStyle w:val="style0"/>
              <w:spacing w:lineRule="exact" w:line="250"/>
              <w:jc w:val="left"/>
              <w:rPr>
                <w:rFonts w:ascii="仿宋" w:cs="仿宋" w:eastAsia="仿宋" w:hAnsi="仿宋"/>
                <w:szCs w:val="21"/>
              </w:rPr>
            </w:pPr>
            <w:r>
              <w:rPr>
                <w:rFonts w:ascii="仿宋" w:cs="仿宋" w:eastAsia="仿宋" w:hAnsi="仿宋" w:hint="eastAsia"/>
                <w:szCs w:val="21"/>
              </w:rPr>
              <w:t>1.围绕“</w:t>
            </w:r>
            <w:r>
              <w:rPr>
                <w:rFonts w:ascii="仿宋" w:cs="仿宋" w:eastAsia="仿宋" w:hAnsi="仿宋" w:hint="eastAsia"/>
                <w:szCs w:val="21"/>
                <w:lang w:eastAsia="zh-CN"/>
              </w:rPr>
              <w:t>五期内容</w:t>
            </w:r>
            <w:r>
              <w:rPr>
                <w:rFonts w:ascii="仿宋" w:cs="仿宋" w:eastAsia="仿宋" w:hAnsi="仿宋" w:hint="eastAsia"/>
                <w:szCs w:val="21"/>
              </w:rPr>
              <w:t>”设计一套检测试题，通过考试的方式检验教师的学习效果。</w:t>
            </w:r>
          </w:p>
          <w:p>
            <w:pPr>
              <w:pStyle w:val="style0"/>
              <w:spacing w:lineRule="exact" w:line="250"/>
              <w:jc w:val="left"/>
              <w:rPr>
                <w:rFonts w:ascii="仿宋" w:cs="仿宋" w:eastAsia="仿宋" w:hAnsi="仿宋"/>
                <w:szCs w:val="21"/>
              </w:rPr>
            </w:pPr>
          </w:p>
          <w:p>
            <w:pPr>
              <w:pStyle w:val="style0"/>
              <w:spacing w:lineRule="exact" w:line="250"/>
              <w:jc w:val="left"/>
              <w:rPr>
                <w:rFonts w:ascii="仿宋" w:cs="仿宋" w:eastAsia="仿宋" w:hAnsi="仿宋"/>
                <w:szCs w:val="21"/>
              </w:rPr>
            </w:pPr>
            <w:r>
              <w:rPr>
                <w:rFonts w:ascii="仿宋" w:cs="仿宋" w:eastAsia="仿宋" w:hAnsi="仿宋" w:hint="eastAsia"/>
                <w:szCs w:val="21"/>
              </w:rPr>
              <w:t>2.务于3月3日24时前将检测试卷</w:t>
            </w:r>
            <w:r>
              <w:rPr>
                <w:rFonts w:ascii="仿宋" w:cs="仿宋" w:eastAsia="仿宋" w:hAnsi="仿宋" w:hint="eastAsia"/>
                <w:szCs w:val="21"/>
                <w:lang w:eastAsia="zh-CN"/>
              </w:rPr>
              <w:t>“答题图片”</w:t>
            </w:r>
            <w:r>
              <w:rPr>
                <w:rFonts w:ascii="仿宋" w:cs="仿宋" w:eastAsia="仿宋" w:hAnsi="仿宋" w:hint="eastAsia"/>
                <w:szCs w:val="21"/>
              </w:rPr>
              <w:t>发送到网络班级的“个人中心“，逾期不提交记作0分。</w:t>
            </w:r>
          </w:p>
        </w:tc>
        <w:tc>
          <w:tcPr>
            <w:tcW w:w="737" w:type="dxa"/>
            <w:tcBorders/>
            <w:vAlign w:val="center"/>
          </w:tcPr>
          <w:p>
            <w:pPr>
              <w:pStyle w:val="style0"/>
              <w:spacing w:lineRule="exact" w:line="250"/>
              <w:jc w:val="center"/>
              <w:rPr>
                <w:rFonts w:ascii="仿宋" w:cs="仿宋" w:eastAsia="仿宋" w:hAnsi="仿宋"/>
                <w:szCs w:val="21"/>
              </w:rPr>
            </w:pPr>
            <w:r>
              <w:rPr>
                <w:rFonts w:ascii="仿宋" w:cs="仿宋" w:eastAsia="仿宋" w:hAnsi="仿宋" w:hint="eastAsia"/>
                <w:szCs w:val="21"/>
              </w:rPr>
              <w:t>10分</w:t>
            </w:r>
          </w:p>
          <w:bookmarkStart w:id="0" w:name="_GoBack"/>
          <w:bookmarkEnd w:id="0"/>
        </w:tc>
        <w:tc>
          <w:tcPr>
            <w:tcW w:w="1824" w:type="dxa"/>
            <w:tcBorders/>
            <w:vAlign w:val="center"/>
          </w:tcPr>
          <w:p>
            <w:pPr>
              <w:pStyle w:val="style0"/>
              <w:spacing w:lineRule="exact" w:line="250"/>
              <w:jc w:val="left"/>
              <w:rPr>
                <w:rFonts w:ascii="仿宋" w:cs="仿宋" w:eastAsia="仿宋" w:hAnsi="仿宋"/>
                <w:szCs w:val="21"/>
              </w:rPr>
            </w:pPr>
            <w:r>
              <w:rPr>
                <w:rFonts w:ascii="仿宋" w:cs="仿宋" w:eastAsia="仿宋" w:hAnsi="仿宋" w:hint="default"/>
                <w:szCs w:val="21"/>
              </w:rPr>
              <w:t>《一线教师必备在线教学攻略》：技术平台我能用；课程资源巧加工；教学方式合理选；教学环境可把控；在线教研聚合力。</w:t>
            </w:r>
          </w:p>
        </w:tc>
        <w:tc>
          <w:tcPr>
            <w:tcW w:w="4101" w:type="dxa"/>
            <w:tcBorders/>
            <w:vAlign w:val="center"/>
          </w:tcPr>
          <w:p>
            <w:pPr>
              <w:pStyle w:val="style3"/>
              <w:widowControl/>
              <w:spacing w:beforeAutospacing="false" w:afterAutospacing="false" w:lineRule="exact" w:line="250"/>
              <w:outlineLvl w:val="2"/>
              <w:rPr>
                <w:rFonts w:ascii="仿宋" w:cs="仿宋" w:eastAsia="仿宋" w:hAnsi="仿宋" w:hint="default"/>
                <w:sz w:val="21"/>
                <w:szCs w:val="21"/>
              </w:rPr>
            </w:pPr>
            <w:r>
              <w:rPr>
                <w:rFonts w:ascii="仿宋" w:cs="仿宋" w:eastAsia="仿宋" w:hAnsi="仿宋" w:hint="eastAsia"/>
                <w:b w:val="false"/>
                <w:bCs/>
                <w:color w:val="333333"/>
                <w:kern w:val="2"/>
                <w:sz w:val="21"/>
                <w:szCs w:val="21"/>
                <w:lang w:bidi="ar-SA" w:eastAsia="zh-CN"/>
              </w:rPr>
              <w:t>来源：中国教育学会教师培训者联盟：https://mp.weixin.qq.com/mp/homepage?__biz=MzIzMDU4MjgyNA==&amp;hid=1&amp;sn=a35d6de44ada1b7636f34a0efe3a4010&amp;devicetype=android-28&amp;version=27000a5d&amp;lang=zh_CN&amp;nettype=WIFI&amp;a=&amp;session_us=gh_2f3b2e3a5563&amp;wx_header=1&amp;from=timeline&amp;sub=&amp;clicktime=1581324121&amp;enterid=1。进修校通过中小学、幼儿园“教师研修群”转发《一线教师必备在线教学攻略》一至五期，再由单位主管领导转发到本单位“工作群”，教师便可以直接用手机阅读学习或扫码学习。</w:t>
            </w:r>
          </w:p>
        </w:tc>
        <w:tc>
          <w:tcPr>
            <w:tcW w:w="1241" w:type="dxa"/>
            <w:tcBorders/>
            <w:vAlign w:val="center"/>
          </w:tcPr>
          <w:p>
            <w:pPr>
              <w:pStyle w:val="style0"/>
              <w:spacing w:lineRule="exact" w:line="250"/>
              <w:jc w:val="left"/>
              <w:rPr>
                <w:rFonts w:ascii="仿宋" w:cs="仿宋" w:eastAsia="仿宋" w:hAnsi="仿宋"/>
                <w:szCs w:val="21"/>
              </w:rPr>
            </w:pPr>
            <w:r>
              <w:rPr>
                <w:rFonts w:ascii="仿宋" w:cs="仿宋" w:eastAsia="仿宋" w:hAnsi="仿宋" w:hint="eastAsia"/>
                <w:szCs w:val="21"/>
              </w:rPr>
              <w:t>各</w:t>
            </w:r>
            <w:r>
              <w:rPr>
                <w:rFonts w:ascii="仿宋" w:cs="仿宋" w:eastAsia="仿宋" w:hAnsi="仿宋" w:hint="eastAsia"/>
                <w:szCs w:val="21"/>
                <w:lang w:eastAsia="zh-CN"/>
              </w:rPr>
              <w:t>班级教师</w:t>
            </w:r>
            <w:r>
              <w:rPr>
                <w:rFonts w:ascii="仿宋" w:cs="仿宋" w:eastAsia="仿宋" w:hAnsi="仿宋" w:hint="eastAsia"/>
                <w:szCs w:val="21"/>
              </w:rPr>
              <w:t>也可以</w:t>
            </w:r>
            <w:r>
              <w:rPr>
                <w:rFonts w:ascii="仿宋" w:cs="仿宋" w:eastAsia="仿宋" w:hAnsi="仿宋" w:hint="eastAsia"/>
                <w:szCs w:val="21"/>
                <w:lang w:eastAsia="zh-CN"/>
              </w:rPr>
              <w:t>自行选择选修课程的学习内容。</w:t>
            </w:r>
          </w:p>
        </w:tc>
      </w:tr>
    </w:tbl>
    <w:p>
      <w:pPr>
        <w:pStyle w:val="style0"/>
        <w:rPr>
          <w:rFonts w:ascii="楷体" w:cs="楷体" w:eastAsia="楷体" w:hAnsi="楷体" w:hint="eastAsia"/>
          <w:lang w:val="en-US" w:eastAsia="zh-CN"/>
        </w:rPr>
      </w:pPr>
    </w:p>
    <w:sectPr>
      <w:pgSz w:w="16838" w:h="11906" w:orient="landscape"/>
      <w:pgMar w:top="1134" w:right="850" w:bottom="1134" w:left="850" w:header="851" w:footer="992" w:gutter="0"/>
      <w:cols w:space="0" w:num="1"/>
      <w:rtlGutter w:val="false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0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0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000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0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000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0030204"/>
    <w:charset w:val="00"/>
    <w:family w:val="swiss"/>
    <w:pitch w:val="default"/>
    <w:sig w:usb0="E00002FF" w:usb1="4000ACFF" w:usb2="00000001" w:usb3="00000000" w:csb0="2000019F" w:csb1="00000000"/>
  </w:font>
  <w:font w:name="仿宋">
    <w:altName w:val="仿宋"/>
    <w:panose1 w:val="02010609060000010101"/>
    <w:charset w:val="86"/>
    <w:family w:val="modern"/>
    <w:pitch w:val="default"/>
    <w:sig w:usb0="800002BF" w:usb1="38CF7CFA" w:usb2="00000016" w:usb3="00000000" w:csb0="00040001" w:csb1="00000000"/>
  </w:font>
  <w:font w:name="方正隶二简体">
    <w:altName w:val="宋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">
    <w:altName w:val="楷体"/>
    <w:panose1 w:val="02010609060000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embedSystemFonts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Times New Roman" w:cs="Times New Roman" w:eastAsia="宋体" w:hAnsi="Times New Roman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Calibri" w:cs="宋体" w:eastAsia="宋体" w:hAnsi="Calibri"/>
      <w:kern w:val="2"/>
      <w:sz w:val="21"/>
      <w:szCs w:val="24"/>
      <w:lang w:val="en-US" w:bidi="ar-SA" w:eastAsia="zh-CN"/>
    </w:rPr>
  </w:style>
  <w:style w:type="paragraph" w:styleId="style2">
    <w:name w:val="heading 2"/>
    <w:basedOn w:val="style0"/>
    <w:next w:val="style0"/>
    <w:qFormat/>
    <w:uiPriority w:val="0"/>
    <w:pPr>
      <w:spacing w:beforeAutospacing="true" w:afterAutospacing="true"/>
      <w:jc w:val="left"/>
      <w:outlineLvl w:val="1"/>
    </w:pPr>
    <w:rPr>
      <w:rFonts w:ascii="宋体" w:cs="Times New Roman" w:eastAsia="宋体" w:hAnsi="宋体" w:hint="eastAsia"/>
      <w:b/>
      <w:kern w:val="0"/>
      <w:sz w:val="36"/>
      <w:szCs w:val="36"/>
    </w:rPr>
  </w:style>
  <w:style w:type="paragraph" w:styleId="style3">
    <w:name w:val="heading 3"/>
    <w:basedOn w:val="style0"/>
    <w:next w:val="style0"/>
    <w:qFormat/>
    <w:uiPriority w:val="0"/>
    <w:pPr>
      <w:spacing w:beforeAutospacing="true" w:afterAutospacing="true"/>
      <w:jc w:val="left"/>
      <w:outlineLvl w:val="2"/>
    </w:pPr>
    <w:rPr>
      <w:rFonts w:ascii="宋体" w:cs="Times New Roman" w:eastAsia="宋体" w:hAnsi="宋体" w:hint="eastAsia"/>
      <w:b/>
      <w:kern w:val="0"/>
      <w:sz w:val="27"/>
      <w:szCs w:val="27"/>
    </w:rPr>
  </w:style>
  <w:style w:type="character" w:default="1" w:styleId="style65">
    <w:name w:val="Default Paragraph Font"/>
    <w:next w:val="style65"/>
    <w:qFormat/>
    <w:uiPriority w:val="1"/>
  </w:style>
  <w:style w:type="table" w:default="1" w:styleId="style105">
    <w:name w:val="Normal Table"/>
    <w:next w:val="style105"/>
    <w:qFormat/>
    <w:uiPriority w:val="99"/>
    <w:pPr/>
    <w:rPr/>
    <w:tblPr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paragraph" w:styleId="style94">
    <w:name w:val="Normal (Web)"/>
    <w:basedOn w:val="style0"/>
    <w:next w:val="style94"/>
    <w:qFormat/>
    <w:uiPriority w:val="0"/>
    <w:pPr>
      <w:spacing w:beforeAutospacing="true" w:afterAutospacing="true"/>
      <w:jc w:val="left"/>
    </w:pPr>
    <w:rPr>
      <w:rFonts w:cs="Times New Roman"/>
      <w:kern w:val="0"/>
      <w:sz w:val="24"/>
    </w:rPr>
  </w:style>
  <w:style w:type="table" w:styleId="style154">
    <w:name w:val="Table Grid"/>
    <w:basedOn w:val="style105"/>
    <w:next w:val="style154"/>
    <w:qFormat/>
    <w:uiPriority w:val="0"/>
    <w:pPr>
      <w:widowControl w:val="false"/>
      <w:jc w:val="both"/>
    </w:pPr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character" w:styleId="style87">
    <w:name w:val="Strong"/>
    <w:basedOn w:val="style65"/>
    <w:next w:val="style87"/>
    <w:qFormat/>
    <w:uiPriority w:val="0"/>
    <w:rPr>
      <w:b/>
    </w:rPr>
  </w:style>
  <w:style w:type="character" w:styleId="style86">
    <w:name w:val="FollowedHyperlink"/>
    <w:basedOn w:val="style65"/>
    <w:next w:val="style86"/>
    <w:qFormat/>
    <w:uiPriority w:val="0"/>
    <w:rPr>
      <w:color w:val="800080"/>
      <w:u w:val="single"/>
    </w:rPr>
  </w:style>
  <w:style w:type="character" w:styleId="style85">
    <w:name w:val="Hyperlink"/>
    <w:basedOn w:val="style65"/>
    <w:next w:val="style85"/>
    <w:qFormat/>
    <w:uiPriority w:val="0"/>
    <w:rPr>
      <w:color w:val="0000ff"/>
      <w:u w:val="singl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Words>522</Words>
  <Pages>1</Pages>
  <Characters>817</Characters>
  <Application>WPS Office</Application>
  <DocSecurity>0</DocSecurity>
  <Paragraphs>33</Paragraphs>
  <ScaleCrop>false</ScaleCrop>
  <LinksUpToDate>false</LinksUpToDate>
  <CharactersWithSpaces>819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2020-02-22T10:37:00Z</dcterms:created>
  <dc:creator>Administrator</dc:creator>
  <lastModifiedBy>COR-AL10</lastModifiedBy>
  <lastPrinted>2020-02-24T02:43:00Z</lastPrinted>
  <dcterms:modified xsi:type="dcterms:W3CDTF">2020-03-02T07:53:46Z</dcterms:modified>
  <revision>2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  <property fmtid="{D5CDD505-2E9C-101B-9397-08002B2CF9AE}" pid="3" name="KSORubyTemplateID" linkTarget="0">
    <vt:lpwstr>6</vt:lpwstr>
  </property>
</Properties>
</file>