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校本</w:t>
      </w:r>
      <w:r>
        <w:rPr>
          <w:rFonts w:hint="eastAsia" w:ascii="黑体" w:hAnsi="黑体" w:eastAsia="黑体"/>
          <w:b/>
          <w:bCs/>
          <w:sz w:val="44"/>
          <w:szCs w:val="44"/>
        </w:rPr>
        <w:t>培训计划</w:t>
      </w:r>
    </w:p>
    <w:p>
      <w:pPr>
        <w:snapToGrid w:val="0"/>
        <w:spacing w:line="560" w:lineRule="exact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青少年活动中心</w:t>
      </w:r>
    </w:p>
    <w:p>
      <w:pPr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</w:rPr>
        <w:t>一、指导思想</w:t>
      </w:r>
    </w:p>
    <w:p>
      <w:pPr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为适应教师终身教育的需要，以县教体局及进修校培训精神为指导，以提高教师思想政治、业务素质及教学水平为目的，开展校本培训工作，解决教师在教育教学中遇到的实际问题，切实提高教师教学质量。</w:t>
      </w:r>
    </w:p>
    <w:p>
      <w:pPr>
        <w:snapToGrid w:val="0"/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二、培训目标</w:t>
      </w:r>
    </w:p>
    <w:p>
      <w:pPr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通过扎实有效的校本培训活动，有效提升教师的教育素养，特别是课堂教学能力，使所有专任教师能按时保质保量完成课堂教学任务，提高教师的专业技术水平。通过观看或实践优质课，尝试案例分析、自学研讨，促进教师专业水平的提高。</w:t>
      </w:r>
    </w:p>
    <w:p>
      <w:pPr>
        <w:snapToGrid w:val="0"/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三、培训内容</w:t>
      </w:r>
    </w:p>
    <w:p>
      <w:pPr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1、提高教师的职业道德素养。教师自主学习有关学校教育的政策法规，中小学教师职业道德规范，激发教师爱岗敬业的精神，完善人格。（考核分5分，视笔记内容而定，无笔记0分）</w:t>
      </w:r>
    </w:p>
    <w:p>
      <w:pPr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、学习现代教育理论，重点学习苏霍姆利斯基的《给教师的一百条建议》，并以文字的形式记录下来，笔记内容不少于500字。另外自主选择学习魏书生、钱梦龙等教育家的著作，并有选择地做笔记。（考核分5分，视笔记内容而定，无笔记0分）</w:t>
      </w:r>
    </w:p>
    <w:p>
      <w:pPr>
        <w:snapToGrid w:val="0"/>
        <w:spacing w:line="560" w:lineRule="exact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3、自行观看本学科优秀教师的优质课视频，自行设计一篇优质课教学设计。（考核分10分，优秀的教学设计8——10分，次之4——7分，无0分）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4、教学反思。每位教师以教育教学活动为思考对象，针对自己学科教学中的问题，积极撰写教学反思，写出心得或感悟一篇。（考核分10分，不上交的记作0分）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>四、培训方式与措施</w:t>
      </w:r>
    </w:p>
    <w:p>
      <w:pPr>
        <w:snapToGrid w:val="0"/>
        <w:spacing w:line="560" w:lineRule="exact"/>
        <w:ind w:firstLine="55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1、自主学习。</w:t>
      </w:r>
    </w:p>
    <w:p>
      <w:pPr>
        <w:snapToGrid w:val="0"/>
        <w:spacing w:line="560" w:lineRule="exact"/>
        <w:ind w:firstLine="55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一、理论学习。教师自主学习有关教师职业道德素养及现代教育教学理论的知识，帮助教师培养良好的职业道德素养，掌握先进的教育教学理论。</w:t>
      </w:r>
    </w:p>
    <w:p>
      <w:pPr>
        <w:snapToGrid w:val="0"/>
        <w:spacing w:line="560" w:lineRule="exact"/>
        <w:ind w:firstLine="55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二、线上资源学习。教师自主查阅与线上教学有关的知识、操作技能、方法或观看课堂实录等来迅速提升自己的课堂教学能力。</w:t>
      </w:r>
    </w:p>
    <w:p>
      <w:pPr>
        <w:snapToGrid w:val="0"/>
        <w:spacing w:line="560" w:lineRule="exact"/>
        <w:ind w:firstLine="55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2、小组研讨。</w:t>
      </w:r>
    </w:p>
    <w:p>
      <w:pPr>
        <w:snapToGrid w:val="0"/>
        <w:spacing w:line="560" w:lineRule="exact"/>
        <w:ind w:firstLine="55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以教研组为单位，以教研为依托，研讨教学体会、课堂教学评价等，具体内容以中学布置的教研任务为准。</w:t>
      </w:r>
    </w:p>
    <w:p>
      <w:pPr>
        <w:snapToGrid w:val="0"/>
        <w:spacing w:line="560" w:lineRule="exact"/>
        <w:ind w:firstLine="555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jc w:val="righ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青少年活动中心</w:t>
      </w:r>
    </w:p>
    <w:p>
      <w:pPr>
        <w:snapToGrid w:val="0"/>
        <w:spacing w:line="560" w:lineRule="exact"/>
        <w:ind w:firstLine="555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2022.3.19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850" w:right="850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61291"/>
    <w:rsid w:val="01F6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2022-03-19T01:22:00Z</dcterms:created>
  <dc:creator> </dc:creator>
  <cp:lastModifiedBy> </cp:lastModifiedBy>
  <dcterms:modified xsi:type="dcterms:W3CDTF">2022-03-19T01:23:48Z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