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兰西县2023-2024学年度上学期教师培训工作考核标准</w:t>
      </w:r>
    </w:p>
    <w:tbl>
      <w:tblPr>
        <w:tblStyle w:val="4"/>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70"/>
        <w:gridCol w:w="840"/>
        <w:gridCol w:w="519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6"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考核对象</w:t>
            </w:r>
          </w:p>
        </w:tc>
        <w:tc>
          <w:tcPr>
            <w:tcW w:w="870"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lang w:eastAsia="zh-CN"/>
              </w:rPr>
              <w:t>项目</w:t>
            </w:r>
          </w:p>
        </w:tc>
        <w:tc>
          <w:tcPr>
            <w:tcW w:w="840"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lang w:eastAsia="zh-CN"/>
              </w:rPr>
              <w:t>分值</w:t>
            </w:r>
          </w:p>
        </w:tc>
        <w:tc>
          <w:tcPr>
            <w:tcW w:w="5191"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rPr>
              <w:t>考核内容、要求及标准</w:t>
            </w:r>
          </w:p>
        </w:tc>
        <w:tc>
          <w:tcPr>
            <w:tcW w:w="1799"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计划总结</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学期初（9月25日之前）、学期末（2023年12月24日之前）各单位要向进修学校网站本校网络班级的“共享”中上传本校的培训计划和培训总结。</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考核小组网站查看材料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集中培训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numPr>
                <w:ilvl w:val="0"/>
                <w:numId w:val="1"/>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全员全程参与培训</w:t>
            </w:r>
          </w:p>
          <w:p>
            <w:pPr>
              <w:numPr>
                <w:ilvl w:val="0"/>
                <w:numId w:val="1"/>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二次培训后将二次培训的5张照片及签到册上传到网站班级的“共享”中</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看检查记录</w:t>
            </w:r>
          </w:p>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师培情况</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教师参与培训情况最后得分的平均分（教师培训得分总分÷参训人数）</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看教师参加培训情况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外出培训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外派基层学校教师培训任务的完成情况纳入单位考核。</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看参培情况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材料上报</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平时各种教师培训材料的上报情况进行考核。</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教师全员考核</w:t>
            </w:r>
          </w:p>
          <w:p>
            <w:pPr>
              <w:jc w:val="both"/>
              <w:rPr>
                <w:rFonts w:hint="default"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心得体会</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集中培训后每位教师要向教师进修学校网站班级个人中心的“文章”中上传一篇培训心得体会，字数在1000字以上。看体会内容和字数酌情扣分。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质量检测</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进修学校网站“师校视频”栏目学习三个专题的网络课程后（），要接受一次质量检测，进修学校出示试卷，学员答完后将答卷情况拍照上传到个人中心的“文章”中（试卷近期下发），试卷照片效果必须清晰，如看不清扣分后果自负。考核成绩以试卷成绩为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看试卷成绩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培训学时</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暑期在中小学智慧教育平台学习获得的10学时的培训证书拍照后上传到网站个人中心的“文章”中。</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看网站中的学时证书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活动反思</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参与网络云教研活动后对照自己的教育教学撰写一篇活动反思，字数要求在800字以上。看内容和字数酌情扣分。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看网站中的心得体会提交情况和质量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教研活动</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学期全体教师要参与兰西县“推门听课”和“联校教研”活动，并将相关材料上传到网站班级个人中心的“文章”中：“推门听课”活动教案、“推门听课”活动课件、1节“校际联研”听课笔记、“校际联研”活动心得。看各材料内容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看网站中的教案、课件、听课笔记、活动心得提交情况和质量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新教师考核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集中培训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新教师参加集中培训情况</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心得体会</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参加集中培训后每位新教师要向教师进修学校网站班级“2323年秋新教师培训班级”个人中心的“文章”中上传一篇培训心得体会，字数在1000字以上。看体会内容和字数酌情扣分。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6"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校本培训考核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全学期参训情况</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100分</w:t>
            </w:r>
          </w:p>
        </w:tc>
        <w:tc>
          <w:tcPr>
            <w:tcW w:w="519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firstLine="480" w:firstLineChars="20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bidi="ar-SA"/>
              </w:rPr>
              <w:t>全体教师必须全员参与校本培训活动，按照进修学校统一安排的培训主题，以一校一案方式，自主组织研修，要按进修学校制定的考核项目进行考核，考核合格的教师按12学时上报进修学校，由进修学校统一审核认定。9月份主题：提升校园长课程教学领导力；10月份主题：提升学科教师的现场赛课和教学述评能力；11月份主题：提升领导及教师信息技术应用能力；12月份主题：提升班主任带班能力；提升心理健康教师对学生的心理辅导能力</w:t>
            </w:r>
          </w:p>
        </w:tc>
        <w:tc>
          <w:tcPr>
            <w:tcW w:w="1799"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以基层单位上报分数为准（附表1），60分以上为合格，认定12学时。基层单位在打分时95分以上不能超过教师总数的20%，90分以上不能超过教师总数的30%。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注：一、三个网络课程：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3" w:firstLineChars="3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10月份课程：</w:t>
      </w:r>
      <w:r>
        <w:rPr>
          <w:rFonts w:hint="eastAsia" w:ascii="宋体" w:hAnsi="宋体" w:eastAsia="宋体" w:cs="宋体"/>
          <w:sz w:val="24"/>
          <w:szCs w:val="24"/>
          <w:lang w:val="en-US" w:eastAsia="zh-CN"/>
        </w:rPr>
        <w:t>指向学科核心素养的信息技术深度融合路径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2.11月份课程：深化教育评价改革 引领基础教育高质量发展</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3.12月份课程：礼赞最美奋斗者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二、2023年“教师能力素质提升竞赛”市级以上获奖情况将纳入本学期考核，2024年的“教师能力素质提升竞赛”活动参与情况及获奖情况将在2023-2024学年度第二学期期末进行详细考核。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bookmarkStart w:id="0" w:name="_GoBack"/>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北安乡中心幼儿园                          主管领导：谭莹莹</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于洋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陈超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王雪萌</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谭莹莹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刘思微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谭春欢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冯若梦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翁宇佳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胡熙悦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么丽丽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12</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刘伟海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bookmarkEnd w:id="0"/>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22D50"/>
    <w:multiLevelType w:val="singleLevel"/>
    <w:tmpl w:val="6C922D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ThhMjNmNDVjZWVmYWEyNjY1NzljZWZjMTdkNDEifQ=="/>
  </w:docVars>
  <w:rsids>
    <w:rsidRoot w:val="25B0008D"/>
    <w:rsid w:val="006F16C7"/>
    <w:rsid w:val="09094D2B"/>
    <w:rsid w:val="16E00C94"/>
    <w:rsid w:val="19EE0BFB"/>
    <w:rsid w:val="25B0008D"/>
    <w:rsid w:val="31F36DAF"/>
    <w:rsid w:val="4AAC5CB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T莹ing</cp:lastModifiedBy>
  <dcterms:modified xsi:type="dcterms:W3CDTF">2023-12-25T06:38:33Z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2A17766DF4A34577947E82873DE8000B_13</vt:lpwstr>
  </property>
</Properties>
</file>