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黑体" w:hAnsi="黑体" w:eastAsia="黑体" w:cs="黑体"/>
          <w:b/>
          <w:bCs/>
          <w:sz w:val="44"/>
          <w:szCs w:val="44"/>
          <w:lang w:val="en-US" w:eastAsia="zh-CN"/>
        </w:rPr>
      </w:pPr>
      <w:r>
        <w:rPr>
          <w:rFonts w:hint="eastAsia" w:ascii="黑体" w:hAnsi="黑体" w:eastAsia="黑体" w:cs="黑体"/>
          <w:b/>
          <w:bCs/>
          <w:sz w:val="44"/>
          <w:szCs w:val="44"/>
          <w:lang w:val="en-US" w:eastAsia="zh-CN"/>
        </w:rPr>
        <w:t>2023-2024学年度下学期校本培训计划</w:t>
      </w:r>
    </w:p>
    <w:p>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燎原中学</w:t>
      </w:r>
    </w:p>
    <w:p>
      <w:pPr>
        <w:keepNext w:val="0"/>
        <w:keepLines w:val="0"/>
        <w:pageBreakBefore w:val="0"/>
        <w:widowControl w:val="0"/>
        <w:kinsoku/>
        <w:wordWrap/>
        <w:overflowPunct/>
        <w:topLinePunct w:val="0"/>
        <w:autoSpaceDE/>
        <w:autoSpaceDN/>
        <w:bidi w:val="0"/>
        <w:adjustRightInd/>
        <w:snapToGrid/>
        <w:spacing w:line="480" w:lineRule="exact"/>
        <w:ind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按照《国家教</w:t>
      </w:r>
      <w:bookmarkStart w:id="0" w:name="_GoBack"/>
      <w:bookmarkEnd w:id="0"/>
      <w:r>
        <w:rPr>
          <w:rFonts w:hint="eastAsia" w:ascii="仿宋" w:hAnsi="仿宋" w:eastAsia="仿宋" w:cs="仿宋"/>
          <w:sz w:val="32"/>
          <w:szCs w:val="32"/>
          <w:lang w:val="en-US" w:eastAsia="zh-CN"/>
        </w:rPr>
        <w:t>育事业发展“十四五”规划》要求和2024年教体局工作要点，紧紧围绕全面提高我县教育教学质量的战略主题，以提高中小学、教师的师德素养、综合素质、业务水平和学校管理能力为核心目标，进一步提升我校教师能力素质，帮助教师通过优化课堂教学策略，培养学生发展核心素养与创新能力，不断深化课程改革，促进学生全面发展，根据《兰西县2023-2024学年度下学期教师培训计划》的统一工作部署，结合我校实际，特制定本学期教师校本培训计划。</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一、指导思想</w:t>
      </w:r>
    </w:p>
    <w:p>
      <w:pPr>
        <w:keepNext w:val="0"/>
        <w:keepLines w:val="0"/>
        <w:pageBreakBefore w:val="0"/>
        <w:widowControl w:val="0"/>
        <w:kinsoku/>
        <w:wordWrap/>
        <w:overflowPunct/>
        <w:topLinePunct w:val="0"/>
        <w:autoSpaceDE/>
        <w:autoSpaceDN/>
        <w:bidi w:val="0"/>
        <w:adjustRightInd/>
        <w:snapToGrid/>
        <w:spacing w:line="480" w:lineRule="exact"/>
        <w:ind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color w:val="000000"/>
          <w:sz w:val="32"/>
          <w:szCs w:val="32"/>
        </w:rPr>
        <w:t>以习近平新时代中国特色社会主义思想为指导，深入贯彻落实党的</w:t>
      </w:r>
      <w:r>
        <w:rPr>
          <w:rFonts w:hint="eastAsia" w:ascii="仿宋" w:hAnsi="仿宋" w:eastAsia="仿宋" w:cs="仿宋"/>
          <w:color w:val="000000"/>
          <w:sz w:val="32"/>
          <w:szCs w:val="32"/>
          <w:lang w:val="en-US" w:eastAsia="zh-CN"/>
        </w:rPr>
        <w:t>二十</w:t>
      </w:r>
      <w:r>
        <w:rPr>
          <w:rFonts w:hint="eastAsia" w:ascii="仿宋" w:hAnsi="仿宋" w:eastAsia="仿宋" w:cs="仿宋"/>
          <w:color w:val="000000"/>
          <w:sz w:val="32"/>
          <w:szCs w:val="32"/>
        </w:rPr>
        <w:t>大精神，围绕培养造就高素质专业化教师队伍的战略目标，本着“以培促学</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以</w:t>
      </w:r>
      <w:r>
        <w:rPr>
          <w:rFonts w:hint="eastAsia" w:ascii="仿宋" w:hAnsi="仿宋" w:eastAsia="仿宋" w:cs="仿宋"/>
          <w:color w:val="000000"/>
          <w:sz w:val="32"/>
          <w:szCs w:val="32"/>
          <w:lang w:val="en-US" w:eastAsia="zh-CN"/>
        </w:rPr>
        <w:t>培</w:t>
      </w:r>
      <w:r>
        <w:rPr>
          <w:rFonts w:hint="eastAsia" w:ascii="仿宋" w:hAnsi="仿宋" w:eastAsia="仿宋" w:cs="仿宋"/>
          <w:color w:val="000000"/>
          <w:sz w:val="32"/>
          <w:szCs w:val="32"/>
        </w:rPr>
        <w:t>促</w:t>
      </w:r>
      <w:r>
        <w:rPr>
          <w:rFonts w:hint="eastAsia" w:ascii="仿宋" w:hAnsi="仿宋" w:eastAsia="仿宋" w:cs="仿宋"/>
          <w:color w:val="000000"/>
          <w:sz w:val="32"/>
          <w:szCs w:val="32"/>
          <w:lang w:val="en-US" w:eastAsia="zh-CN"/>
        </w:rPr>
        <w:t>研、以培促效</w:t>
      </w:r>
      <w:r>
        <w:rPr>
          <w:rFonts w:hint="eastAsia" w:ascii="仿宋" w:hAnsi="仿宋" w:eastAsia="仿宋" w:cs="仿宋"/>
          <w:color w:val="000000"/>
          <w:sz w:val="32"/>
          <w:szCs w:val="32"/>
        </w:rPr>
        <w:t>”的原则，以提高教师师德素养和</w:t>
      </w:r>
      <w:r>
        <w:rPr>
          <w:rFonts w:hint="eastAsia" w:ascii="仿宋" w:hAnsi="仿宋" w:eastAsia="仿宋" w:cs="仿宋"/>
          <w:color w:val="000000"/>
          <w:sz w:val="32"/>
          <w:szCs w:val="32"/>
          <w:lang w:val="en-US" w:eastAsia="zh-CN"/>
        </w:rPr>
        <w:t>综合能力素质</w:t>
      </w:r>
      <w:r>
        <w:rPr>
          <w:rFonts w:hint="eastAsia" w:ascii="仿宋" w:hAnsi="仿宋" w:eastAsia="仿宋" w:cs="仿宋"/>
          <w:color w:val="000000"/>
          <w:sz w:val="32"/>
          <w:szCs w:val="32"/>
        </w:rPr>
        <w:t>为核心，以教育改革和教师专业发展实际需求为导向，以解决教育教学实践中存在的突出问题为突破口，切实改进教师的教育教学行为，推动教师成为终身学习者，推进学校成为学习型组织，整体提升</w:t>
      </w:r>
      <w:r>
        <w:rPr>
          <w:rFonts w:hint="eastAsia" w:ascii="仿宋" w:hAnsi="仿宋" w:eastAsia="仿宋" w:cs="仿宋"/>
          <w:color w:val="000000"/>
          <w:sz w:val="32"/>
          <w:szCs w:val="32"/>
          <w:lang w:val="en-US" w:eastAsia="zh-CN"/>
        </w:rPr>
        <w:t>教师队伍素质</w:t>
      </w:r>
      <w:r>
        <w:rPr>
          <w:rFonts w:hint="eastAsia" w:ascii="仿宋" w:hAnsi="仿宋" w:eastAsia="仿宋" w:cs="仿宋"/>
          <w:color w:val="000000"/>
          <w:sz w:val="32"/>
          <w:szCs w:val="32"/>
        </w:rPr>
        <w:t>，促进</w:t>
      </w:r>
      <w:r>
        <w:rPr>
          <w:rFonts w:hint="eastAsia" w:ascii="仿宋" w:hAnsi="仿宋" w:eastAsia="仿宋" w:cs="仿宋"/>
          <w:color w:val="000000"/>
          <w:sz w:val="32"/>
          <w:szCs w:val="32"/>
          <w:lang w:eastAsia="zh-CN"/>
        </w:rPr>
        <w:t>我校</w:t>
      </w:r>
      <w:r>
        <w:rPr>
          <w:rFonts w:hint="eastAsia" w:ascii="仿宋" w:hAnsi="仿宋" w:eastAsia="仿宋" w:cs="仿宋"/>
          <w:color w:val="000000"/>
          <w:sz w:val="32"/>
          <w:szCs w:val="32"/>
        </w:rPr>
        <w:t>教育教学质量大幅度提高。</w:t>
      </w:r>
    </w:p>
    <w:p>
      <w:pPr>
        <w:keepNext w:val="0"/>
        <w:keepLines w:val="0"/>
        <w:pageBreakBefore w:val="0"/>
        <w:widowControl w:val="0"/>
        <w:kinsoku/>
        <w:wordWrap/>
        <w:overflowPunct/>
        <w:topLinePunct w:val="0"/>
        <w:autoSpaceDE/>
        <w:autoSpaceDN/>
        <w:bidi w:val="0"/>
        <w:adjustRightInd/>
        <w:snapToGrid/>
        <w:spacing w:line="480" w:lineRule="exact"/>
        <w:ind w:leftChars="0" w:firstLine="630" w:firstLineChars="196"/>
        <w:textAlignment w:val="auto"/>
        <w:rPr>
          <w:rFonts w:hint="eastAsia" w:ascii="仿宋" w:hAnsi="仿宋" w:eastAsia="仿宋" w:cs="仿宋"/>
          <w:b/>
          <w:bCs w:val="0"/>
          <w:color w:val="000000"/>
          <w:sz w:val="32"/>
          <w:szCs w:val="32"/>
        </w:rPr>
      </w:pPr>
      <w:r>
        <w:rPr>
          <w:rFonts w:hint="eastAsia" w:ascii="仿宋" w:hAnsi="仿宋" w:eastAsia="仿宋" w:cs="仿宋"/>
          <w:b/>
          <w:bCs w:val="0"/>
          <w:color w:val="000000"/>
          <w:sz w:val="32"/>
          <w:szCs w:val="32"/>
          <w:lang w:val="en-US" w:eastAsia="zh-CN"/>
        </w:rPr>
        <w:t>二</w:t>
      </w:r>
      <w:r>
        <w:rPr>
          <w:rFonts w:hint="eastAsia" w:ascii="仿宋" w:hAnsi="仿宋" w:eastAsia="仿宋" w:cs="仿宋"/>
          <w:b/>
          <w:bCs w:val="0"/>
          <w:color w:val="000000"/>
          <w:sz w:val="32"/>
          <w:szCs w:val="32"/>
        </w:rPr>
        <w:t>、培训目标</w:t>
      </w:r>
    </w:p>
    <w:p>
      <w:pPr>
        <w:keepNext w:val="0"/>
        <w:keepLines w:val="0"/>
        <w:pageBreakBefore w:val="0"/>
        <w:widowControl w:val="0"/>
        <w:kinsoku/>
        <w:wordWrap/>
        <w:overflowPunct/>
        <w:topLinePunct w:val="0"/>
        <w:autoSpaceDE/>
        <w:autoSpaceDN/>
        <w:bidi w:val="0"/>
        <w:adjustRightInd/>
        <w:snapToGrid/>
        <w:spacing w:line="480" w:lineRule="exact"/>
        <w:ind w:leftChars="0"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lang w:val="en-US" w:eastAsia="zh-CN"/>
        </w:rPr>
        <w:t>通过培训，</w:t>
      </w:r>
      <w:r>
        <w:rPr>
          <w:rFonts w:hint="eastAsia" w:ascii="仿宋" w:hAnsi="仿宋" w:eastAsia="仿宋" w:cs="仿宋"/>
          <w:color w:val="000000"/>
          <w:kern w:val="0"/>
          <w:sz w:val="32"/>
          <w:szCs w:val="32"/>
        </w:rPr>
        <w:t>帮助校长和教师理解相关文件精神，了解校长、教师专业标准的具体要求，</w:t>
      </w:r>
      <w:r>
        <w:rPr>
          <w:rFonts w:hint="eastAsia" w:ascii="仿宋" w:hAnsi="仿宋" w:eastAsia="仿宋" w:cs="仿宋"/>
          <w:color w:val="000000"/>
          <w:kern w:val="0"/>
          <w:sz w:val="32"/>
          <w:szCs w:val="32"/>
          <w:lang w:val="en-US" w:eastAsia="zh-CN"/>
        </w:rPr>
        <w:t>提升校长、教师信息技术应用能力，</w:t>
      </w:r>
      <w:r>
        <w:rPr>
          <w:rFonts w:hint="eastAsia" w:ascii="仿宋" w:hAnsi="仿宋" w:eastAsia="仿宋" w:cs="仿宋"/>
          <w:color w:val="000000"/>
          <w:kern w:val="0"/>
          <w:sz w:val="32"/>
          <w:szCs w:val="32"/>
        </w:rPr>
        <w:t>增强专业发展意识，</w:t>
      </w:r>
      <w:r>
        <w:rPr>
          <w:rFonts w:hint="eastAsia" w:ascii="仿宋" w:hAnsi="仿宋" w:eastAsia="仿宋" w:cs="仿宋"/>
          <w:color w:val="000000"/>
          <w:kern w:val="0"/>
          <w:sz w:val="32"/>
          <w:szCs w:val="32"/>
          <w:lang w:val="en-US" w:eastAsia="zh-CN"/>
        </w:rPr>
        <w:t>转变</w:t>
      </w:r>
      <w:r>
        <w:rPr>
          <w:rFonts w:hint="eastAsia" w:ascii="仿宋" w:hAnsi="仿宋" w:eastAsia="仿宋" w:cs="仿宋"/>
          <w:color w:val="000000"/>
          <w:kern w:val="0"/>
          <w:sz w:val="32"/>
          <w:szCs w:val="32"/>
        </w:rPr>
        <w:t>教育思想和教育理念，努力建设一支“敬业型、实干型、专家型、效能型、开拓型”的学校领导班子</w:t>
      </w:r>
      <w:r>
        <w:rPr>
          <w:rFonts w:hint="eastAsia" w:ascii="仿宋" w:hAnsi="仿宋" w:eastAsia="仿宋" w:cs="仿宋"/>
          <w:color w:val="000000"/>
          <w:kern w:val="0"/>
          <w:sz w:val="32"/>
          <w:szCs w:val="32"/>
          <w:lang w:val="en-US" w:eastAsia="zh-CN"/>
        </w:rPr>
        <w:t>队伍</w:t>
      </w:r>
      <w:r>
        <w:rPr>
          <w:rFonts w:hint="eastAsia" w:ascii="仿宋" w:hAnsi="仿宋" w:eastAsia="仿宋" w:cs="仿宋"/>
          <w:color w:val="000000"/>
          <w:kern w:val="0"/>
          <w:sz w:val="32"/>
          <w:szCs w:val="32"/>
        </w:rPr>
        <w:t>，努力打造一支“师风端正、师德高尚、师魂纯洁、师能突出、师艺超群”的中小学教师队伍。</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3" w:firstLineChars="200"/>
        <w:textAlignment w:val="auto"/>
        <w:rPr>
          <w:rFonts w:hint="eastAsia" w:ascii="仿宋" w:hAnsi="仿宋" w:eastAsia="仿宋" w:cs="仿宋"/>
          <w:color w:val="000000"/>
          <w:kern w:val="0"/>
          <w:sz w:val="32"/>
          <w:szCs w:val="32"/>
          <w:lang w:val="en-US" w:eastAsia="zh-CN"/>
        </w:rPr>
      </w:pPr>
      <w:r>
        <w:rPr>
          <w:rFonts w:hint="eastAsia" w:ascii="仿宋" w:hAnsi="仿宋" w:eastAsia="仿宋" w:cs="仿宋"/>
          <w:b/>
          <w:bCs/>
          <w:color w:val="000000"/>
          <w:kern w:val="0"/>
          <w:sz w:val="32"/>
          <w:szCs w:val="32"/>
          <w:lang w:val="en-US" w:eastAsia="zh-CN"/>
        </w:rPr>
        <w:t>三、培训方式</w:t>
      </w:r>
    </w:p>
    <w:p>
      <w:pPr>
        <w:keepNext w:val="0"/>
        <w:keepLines w:val="0"/>
        <w:pageBreakBefore w:val="0"/>
        <w:widowControl w:val="0"/>
        <w:kinsoku/>
        <w:wordWrap/>
        <w:overflowPunct/>
        <w:topLinePunct w:val="0"/>
        <w:autoSpaceDE/>
        <w:autoSpaceDN/>
        <w:bidi w:val="0"/>
        <w:adjustRightInd/>
        <w:snapToGrid/>
        <w:spacing w:line="480" w:lineRule="exact"/>
        <w:ind w:leftChars="0"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lang w:val="en-US" w:eastAsia="zh-CN"/>
        </w:rPr>
        <w:t>集中研修与网络研修相结合，校本研修与县级研修相结合，指导交流与任务驱动相结合，实践操作与反思提升相结合，信技应用与课堂教学相结合，成果展评与表彰奖励相结合，</w:t>
      </w:r>
      <w:r>
        <w:rPr>
          <w:rFonts w:hint="eastAsia" w:ascii="仿宋" w:hAnsi="仿宋" w:eastAsia="仿宋" w:cs="仿宋"/>
          <w:color w:val="000000"/>
          <w:kern w:val="0"/>
          <w:sz w:val="32"/>
          <w:szCs w:val="32"/>
        </w:rPr>
        <w:t>多元考评与综合认定相结合。</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b/>
          <w:bCs/>
          <w:color w:val="000000"/>
          <w:kern w:val="0"/>
          <w:sz w:val="32"/>
          <w:szCs w:val="32"/>
          <w:lang w:val="en-US" w:eastAsia="zh-CN"/>
        </w:rPr>
      </w:pPr>
      <w:r>
        <w:rPr>
          <w:rFonts w:hint="eastAsia" w:ascii="仿宋" w:hAnsi="仿宋" w:eastAsia="仿宋" w:cs="仿宋"/>
          <w:b/>
          <w:bCs/>
          <w:color w:val="000000"/>
          <w:kern w:val="0"/>
          <w:sz w:val="32"/>
          <w:szCs w:val="32"/>
          <w:lang w:val="en-US" w:eastAsia="zh-CN"/>
        </w:rPr>
        <w:t>四、培训对象</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全体教师。</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3" w:firstLineChars="200"/>
        <w:textAlignment w:val="auto"/>
        <w:rPr>
          <w:rFonts w:hint="eastAsia" w:ascii="仿宋" w:hAnsi="仿宋" w:eastAsia="仿宋" w:cs="仿宋"/>
          <w:b/>
          <w:bCs/>
          <w:color w:val="000000"/>
          <w:kern w:val="0"/>
          <w:sz w:val="32"/>
          <w:szCs w:val="32"/>
          <w:lang w:val="en-US" w:eastAsia="zh-CN"/>
        </w:rPr>
      </w:pPr>
      <w:r>
        <w:rPr>
          <w:rFonts w:hint="eastAsia" w:ascii="仿宋" w:hAnsi="仿宋" w:eastAsia="仿宋" w:cs="仿宋"/>
          <w:b/>
          <w:bCs/>
          <w:color w:val="000000"/>
          <w:kern w:val="0"/>
          <w:sz w:val="32"/>
          <w:szCs w:val="32"/>
          <w:lang w:val="en-US" w:eastAsia="zh-CN"/>
        </w:rPr>
        <w:t>五、培训内容</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线上研修：要求全体教师加入教师进修学校网站的网络班级进行学习。借助兰西县教师进修学校网站的“师校视频”栏目展示高质量网络课程，让一线教师学习高水平专家和县市县名师工作室成员及兰西县校际联研同课异构优秀课例展示的课程，包括师德师风等通识性课程及专题课程，</w:t>
      </w:r>
      <w:r>
        <w:rPr>
          <w:rFonts w:hint="eastAsia" w:ascii="仿宋" w:hAnsi="仿宋" w:eastAsia="仿宋" w:cs="仿宋"/>
          <w:color w:val="000000" w:themeColor="text1"/>
          <w:kern w:val="0"/>
          <w:sz w:val="32"/>
          <w:szCs w:val="32"/>
          <w14:textFill>
            <w14:solidFill>
              <w14:schemeClr w14:val="tx1"/>
            </w14:solidFill>
          </w14:textFill>
        </w:rPr>
        <w:t>引领和促进教师的专业发展</w:t>
      </w:r>
      <w:r>
        <w:rPr>
          <w:rFonts w:hint="eastAsia" w:ascii="仿宋" w:hAnsi="仿宋" w:eastAsia="仿宋" w:cs="仿宋"/>
          <w:color w:val="000000" w:themeColor="text1"/>
          <w:kern w:val="0"/>
          <w:sz w:val="32"/>
          <w:szCs w:val="32"/>
          <w:lang w:eastAsia="zh-CN"/>
          <w14:textFill>
            <w14:solidFill>
              <w14:schemeClr w14:val="tx1"/>
            </w14:solidFill>
          </w14:textFill>
        </w:rPr>
        <w:t>。</w:t>
      </w:r>
      <w:r>
        <w:rPr>
          <w:rFonts w:hint="eastAsia" w:ascii="仿宋" w:hAnsi="仿宋" w:eastAsia="仿宋" w:cs="仿宋"/>
          <w:sz w:val="32"/>
          <w:szCs w:val="32"/>
          <w:lang w:val="en-US" w:eastAsia="zh-CN"/>
        </w:rPr>
        <w:t>通过观摩学习，转变教师的教育观念；通过观摩学习，提升教师的教学水平；通过观摩学习，提高教师的信技能力；通过观摩学习，提高教师的能力素质。</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2.借助全国中小学智慧教育平台提升教师素质</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firstLine="640" w:firstLineChars="200"/>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sz w:val="32"/>
          <w:szCs w:val="32"/>
          <w:lang w:val="en-US" w:eastAsia="zh-CN"/>
        </w:rPr>
        <w:t>智慧平台为教师提供了全面、系统的智慧教育解决方案，为教师、学生和家长提供了便捷的学习和教育服务。通过自动化评估系统和个性化学习推荐功能，可以更好地满足教师的个性化需求，提高学生学习的积极性和主动性。所以本学期我们利用这个平台，指导督促教师学名师先进的教学理念、实用的教学模式、丰富的教学经验、教材的处理、情境的创设、师生学习活动的设计与组织、教学过程的推进与衔接、教学媒体的熟练运用、重难点的突破、板书的设计、教学细节的处理、扎实的基本功、教学设计的有效落实，学名师课件制作的实用性、作业布置的合理性、相关链接的拓展性等，以促进自己专业化成长的进程。教师学习后平台会发放学时证书。</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firstLine="640" w:firstLineChars="200"/>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3.校本培训</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firstLine="640" w:firstLineChars="200"/>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全体教师必须全员参与校本培训活动，按照进修学校统一安排的培训主题，以一校一案方式，自主组织研修，要按进修学校制定的考核项目进行考核，考核合格的教师按12学时上报进修学校，由进修学校统一审核认定。</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firstLine="640" w:firstLineChars="200"/>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三月份主题：提升教师的班级管理能力</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firstLine="640" w:firstLineChars="200"/>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sz w:val="32"/>
          <w:szCs w:val="32"/>
        </w:rPr>
        <w:t>围绕立德树人根本任务，</w:t>
      </w:r>
      <w:r>
        <w:rPr>
          <w:rFonts w:hint="eastAsia" w:ascii="仿宋" w:hAnsi="仿宋" w:eastAsia="仿宋" w:cs="仿宋"/>
          <w:sz w:val="32"/>
          <w:szCs w:val="32"/>
          <w:lang w:val="en-US" w:eastAsia="zh-CN"/>
        </w:rPr>
        <w:t>提升教师</w:t>
      </w:r>
      <w:r>
        <w:rPr>
          <w:rFonts w:hint="eastAsia" w:ascii="仿宋" w:hAnsi="仿宋" w:eastAsia="仿宋" w:cs="仿宋"/>
          <w:sz w:val="32"/>
          <w:szCs w:val="32"/>
        </w:rPr>
        <w:t>在教育实践中</w:t>
      </w:r>
      <w:r>
        <w:rPr>
          <w:rFonts w:hint="eastAsia" w:ascii="仿宋" w:hAnsi="仿宋" w:eastAsia="仿宋" w:cs="仿宋"/>
          <w:sz w:val="32"/>
          <w:szCs w:val="32"/>
          <w:lang w:val="en-US" w:eastAsia="zh-CN"/>
        </w:rPr>
        <w:t>的</w:t>
      </w:r>
      <w:r>
        <w:rPr>
          <w:rFonts w:hint="eastAsia" w:ascii="仿宋" w:hAnsi="仿宋" w:eastAsia="仿宋" w:cs="仿宋"/>
          <w:sz w:val="32"/>
          <w:szCs w:val="32"/>
        </w:rPr>
        <w:t>爱岗敬业、价值观教育、班级管理、师生沟通、家校共育等</w:t>
      </w:r>
      <w:r>
        <w:rPr>
          <w:rFonts w:hint="eastAsia" w:ascii="仿宋" w:hAnsi="仿宋" w:eastAsia="仿宋" w:cs="仿宋"/>
          <w:sz w:val="32"/>
          <w:szCs w:val="32"/>
          <w:lang w:val="en-US" w:eastAsia="zh-CN"/>
        </w:rPr>
        <w:t>能力</w:t>
      </w:r>
      <w:r>
        <w:rPr>
          <w:rFonts w:hint="eastAsia" w:ascii="仿宋" w:hAnsi="仿宋" w:eastAsia="仿宋" w:cs="仿宋"/>
          <w:sz w:val="32"/>
          <w:szCs w:val="32"/>
        </w:rPr>
        <w:t>，</w:t>
      </w:r>
      <w:r>
        <w:rPr>
          <w:rFonts w:hint="eastAsia" w:ascii="仿宋" w:hAnsi="仿宋" w:eastAsia="仿宋" w:cs="仿宋"/>
          <w:sz w:val="32"/>
          <w:szCs w:val="32"/>
          <w:lang w:val="en-US" w:eastAsia="zh-CN"/>
        </w:rPr>
        <w:t>关注</w:t>
      </w:r>
      <w:r>
        <w:rPr>
          <w:rFonts w:hint="eastAsia" w:ascii="仿宋" w:hAnsi="仿宋" w:eastAsia="仿宋" w:cs="仿宋"/>
          <w:sz w:val="32"/>
          <w:szCs w:val="32"/>
        </w:rPr>
        <w:t>学生成长过程中的新情况、新变化，突出新时期教育要求和学生发展需求，彰显</w:t>
      </w:r>
      <w:r>
        <w:rPr>
          <w:rFonts w:hint="eastAsia" w:ascii="仿宋" w:hAnsi="仿宋" w:eastAsia="仿宋" w:cs="仿宋"/>
          <w:sz w:val="32"/>
          <w:szCs w:val="32"/>
          <w:lang w:val="en-US" w:eastAsia="zh-CN"/>
        </w:rPr>
        <w:t>教师</w:t>
      </w:r>
      <w:r>
        <w:rPr>
          <w:rFonts w:hint="eastAsia" w:ascii="仿宋" w:hAnsi="仿宋" w:eastAsia="仿宋" w:cs="仿宋"/>
          <w:sz w:val="32"/>
          <w:szCs w:val="32"/>
        </w:rPr>
        <w:t>人格魅力，体现</w:t>
      </w:r>
      <w:r>
        <w:rPr>
          <w:rFonts w:hint="eastAsia" w:ascii="仿宋" w:hAnsi="仿宋" w:eastAsia="仿宋" w:cs="仿宋"/>
          <w:sz w:val="32"/>
          <w:szCs w:val="32"/>
          <w:lang w:val="en-US" w:eastAsia="zh-CN"/>
        </w:rPr>
        <w:t>教师</w:t>
      </w:r>
      <w:r>
        <w:rPr>
          <w:rFonts w:hint="eastAsia" w:ascii="仿宋" w:hAnsi="仿宋" w:eastAsia="仿宋" w:cs="仿宋"/>
          <w:sz w:val="32"/>
          <w:szCs w:val="32"/>
        </w:rPr>
        <w:t>的专业素养和教育情怀。</w:t>
      </w:r>
    </w:p>
    <w:p>
      <w:pPr>
        <w:keepNext w:val="0"/>
        <w:keepLines w:val="0"/>
        <w:pageBreakBefore w:val="0"/>
        <w:widowControl w:val="0"/>
        <w:kinsoku/>
        <w:wordWrap/>
        <w:overflowPunct/>
        <w:topLinePunct w:val="0"/>
        <w:autoSpaceDE/>
        <w:autoSpaceDN/>
        <w:bidi w:val="0"/>
        <w:adjustRightInd/>
        <w:snapToGrid/>
        <w:spacing w:line="480" w:lineRule="exact"/>
        <w:ind w:right="0" w:firstLine="640" w:firstLineChars="200"/>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四月份主题：提升教师对学生的心理辅导能力</w:t>
      </w:r>
    </w:p>
    <w:p>
      <w:pPr>
        <w:keepNext w:val="0"/>
        <w:keepLines w:val="0"/>
        <w:pageBreakBefore w:val="0"/>
        <w:widowControl w:val="0"/>
        <w:kinsoku/>
        <w:wordWrap/>
        <w:overflowPunct/>
        <w:topLinePunct w:val="0"/>
        <w:autoSpaceDE/>
        <w:autoSpaceDN/>
        <w:bidi w:val="0"/>
        <w:adjustRightInd/>
        <w:snapToGrid/>
        <w:spacing w:line="480" w:lineRule="exact"/>
        <w:ind w:right="0" w:firstLine="640" w:firstLineChars="200"/>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sz w:val="32"/>
          <w:szCs w:val="32"/>
          <w:lang w:val="en-US" w:eastAsia="zh-CN"/>
        </w:rPr>
        <w:t>要求</w:t>
      </w:r>
      <w:r>
        <w:rPr>
          <w:rFonts w:hint="eastAsia" w:ascii="仿宋" w:hAnsi="仿宋" w:eastAsia="仿宋" w:cs="仿宋"/>
          <w:sz w:val="32"/>
          <w:szCs w:val="32"/>
        </w:rPr>
        <w:t>教师</w:t>
      </w:r>
      <w:r>
        <w:rPr>
          <w:rFonts w:hint="eastAsia" w:ascii="仿宋" w:hAnsi="仿宋" w:eastAsia="仿宋" w:cs="仿宋"/>
          <w:sz w:val="32"/>
          <w:szCs w:val="32"/>
          <w:lang w:val="en-US" w:eastAsia="zh-CN"/>
        </w:rPr>
        <w:t>对学生</w:t>
      </w:r>
      <w:r>
        <w:rPr>
          <w:rFonts w:hint="eastAsia" w:ascii="仿宋" w:hAnsi="仿宋" w:eastAsia="仿宋" w:cs="仿宋"/>
          <w:sz w:val="32"/>
          <w:szCs w:val="32"/>
        </w:rPr>
        <w:t>完成一次团体心理辅导，辅导</w:t>
      </w:r>
      <w:r>
        <w:rPr>
          <w:rFonts w:hint="eastAsia" w:ascii="仿宋" w:hAnsi="仿宋" w:eastAsia="仿宋" w:cs="仿宋"/>
          <w:sz w:val="32"/>
          <w:szCs w:val="32"/>
          <w:lang w:val="en-US" w:eastAsia="zh-CN"/>
        </w:rPr>
        <w:t>要有辅导</w:t>
      </w:r>
      <w:r>
        <w:rPr>
          <w:rFonts w:hint="eastAsia" w:ascii="仿宋" w:hAnsi="仿宋" w:eastAsia="仿宋" w:cs="仿宋"/>
          <w:sz w:val="32"/>
          <w:szCs w:val="32"/>
        </w:rPr>
        <w:t>主题、辅导理念、辅导目标</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要求</w:t>
      </w:r>
      <w:r>
        <w:rPr>
          <w:rFonts w:hint="eastAsia" w:ascii="仿宋" w:hAnsi="仿宋" w:eastAsia="仿宋" w:cs="仿宋"/>
          <w:sz w:val="32"/>
          <w:szCs w:val="32"/>
        </w:rPr>
        <w:t>辅导主题清晰，目标明确，有相关理论依据， 内容完整，</w:t>
      </w:r>
      <w:r>
        <w:rPr>
          <w:rFonts w:hint="eastAsia" w:ascii="仿宋" w:hAnsi="仿宋" w:eastAsia="仿宋" w:cs="仿宋"/>
          <w:sz w:val="32"/>
          <w:szCs w:val="32"/>
          <w:lang w:val="en-US" w:eastAsia="zh-CN"/>
        </w:rPr>
        <w:t>要</w:t>
      </w:r>
      <w:r>
        <w:rPr>
          <w:rFonts w:hint="eastAsia" w:ascii="仿宋" w:hAnsi="仿宋" w:eastAsia="仿宋" w:cs="仿宋"/>
          <w:sz w:val="32"/>
          <w:szCs w:val="32"/>
        </w:rPr>
        <w:t>选择恰当的技术、方法，营造安全、开放、交流的团体辅导氛围，学生在团体辅导活动中有身体、思维、情感参与，有认知的生成或者情感升华。</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firstLine="640" w:firstLineChars="200"/>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五月份主题：提升领导及教师信息技术应用能力</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firstLine="640" w:firstLineChars="200"/>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为了巩固信息技术2.0培训成果，学校将进一步加强对全体教师进行培训，增强教师的信息技术应用能力。</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firstLine="640" w:firstLineChars="200"/>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六月份主题：提升教师的大单元教学能力</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整体单元教学是系统设计的教与学的互动过程，通常以单元为教学单位，以整体学习情境和整体学习任务为显性形式，在完成具体学习任务的过程中，实现学生个性化学习，提高学生的综合素养。学校将采取集中学习、课例分享、反思提升等方式进行培训，以提高教师的大单元教学能力。</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643" w:firstLineChars="200"/>
        <w:jc w:val="left"/>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六、考核办法</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学校在进修校的统一管理下开展校本培训工作，并组建由领导小组、学教研组长组成的校本培训考核小组，严格培训质量监控。校本培训由单位考核，满分100分，转化后为12分纳入进修校年度考核之中。</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（1）计划总结：学期初（3月15日之前）、学期末（7月15日之前）要提交年度自主研修计划和校本培训总结。此考核项目为10分。</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（2）师培情况：教师按时参加培训学习，全程参与校际主题联研，并完成学期教研工作任务，及时上报有关“推门听课”相关材料，积极参加教师能力素质提升校级竞赛。此考核项目为70分。</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（3）外出培训：根据实际需要完成外出培训任务。此考核项目为10分。</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（4）材料上报：对教师平时各种培训材料的上报情况进行考核。此项考核项目为10分。</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奖励加分：第一，在教师进修学校的要求下作为兼职教研员等教师为进修校做研培工作的，每人次给教师加1分；第三，参加市级以上能力素质提升等竞赛并获奖，获市奖的每人次给学校加1分，获省奖的每人次给学校加2分，此项考核满分为10分。</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643" w:firstLineChars="200"/>
        <w:jc w:val="left"/>
        <w:textAlignment w:val="auto"/>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七、保障措施</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643" w:firstLineChars="200"/>
        <w:jc w:val="left"/>
        <w:textAlignment w:val="auto"/>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1.强化组织领导。</w:t>
      </w:r>
      <w:r>
        <w:rPr>
          <w:rFonts w:hint="eastAsia" w:ascii="仿宋" w:hAnsi="仿宋" w:eastAsia="仿宋" w:cs="仿宋"/>
          <w:b w:val="0"/>
          <w:bCs w:val="0"/>
          <w:sz w:val="32"/>
          <w:szCs w:val="32"/>
          <w:lang w:val="en-US" w:eastAsia="zh-CN"/>
        </w:rPr>
        <w:t>为确保2023-2024学年度下学期教师培训工作整体推进，有效实施，学校成立由党支部书记、校长由洪波任组长、业务副校长周志友任副组长、付书记刘艳、教务处主任葛占波、杨震为主要成员的校本培训工作领导小组，具体负责教师培训的宣传发动、组织报名、督促指导、校本研修、校本考核、材料提交等，确保培训活动不走过场，不流于形式，取得实实在在的成效。</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643" w:firstLineChars="200"/>
        <w:jc w:val="left"/>
        <w:textAlignment w:val="auto"/>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2.强化考核评估。</w:t>
      </w:r>
      <w:r>
        <w:rPr>
          <w:rFonts w:hint="eastAsia" w:ascii="仿宋" w:hAnsi="仿宋" w:eastAsia="仿宋" w:cs="仿宋"/>
          <w:b w:val="0"/>
          <w:bCs w:val="0"/>
          <w:sz w:val="32"/>
          <w:szCs w:val="32"/>
          <w:lang w:val="en-US" w:eastAsia="zh-CN"/>
        </w:rPr>
        <w:t>教学校考核小组必须严格按照各项培训的“考评项目、考核标准”进行如实考评，确保考评工作的公正、公平、公开。参训教师必须严格按照各项培训的要求，及时参加培训、悉心学习领会、认真提交作业、付诸教学实践。综合考核60分以上的教师为培训合格，认定“规定”的学时，颁发培训结业证书，综合考核低于60分的视为培训不合格，不认定培训学时，不颁发培训结业证书。</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643" w:firstLineChars="200"/>
        <w:jc w:val="left"/>
        <w:textAlignment w:val="auto"/>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3.强化成果选树。</w:t>
      </w:r>
      <w:r>
        <w:rPr>
          <w:rFonts w:hint="eastAsia" w:ascii="仿宋" w:hAnsi="仿宋" w:eastAsia="仿宋" w:cs="仿宋"/>
          <w:b w:val="0"/>
          <w:bCs w:val="0"/>
          <w:sz w:val="32"/>
          <w:szCs w:val="32"/>
          <w:lang w:val="en-US" w:eastAsia="zh-CN"/>
        </w:rPr>
        <w:t>为认真总结教师培训的经验和成果，进一步提升教师培训质量和水平，充分发挥典型的示范引领作用，充分调动广大教师参与培训的积极性，激励先进，树立典型，促进提高，借助“教师能力素质提升竞赛活动”，从“校长领导力、学科教学展示、班主任基本功、心理健康教师、信息技术应用”等方面评选名优教师和优秀成果，并择优遴选推荐县赛选手。</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643" w:firstLineChars="200"/>
        <w:jc w:val="left"/>
        <w:textAlignment w:val="auto"/>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4.强化安全意识。</w:t>
      </w:r>
      <w:r>
        <w:rPr>
          <w:rFonts w:hint="eastAsia" w:ascii="仿宋" w:hAnsi="仿宋" w:eastAsia="仿宋" w:cs="仿宋"/>
          <w:b w:val="0"/>
          <w:bCs w:val="0"/>
          <w:sz w:val="32"/>
          <w:szCs w:val="32"/>
          <w:lang w:val="en-US" w:eastAsia="zh-CN"/>
        </w:rPr>
        <w:t>按照省教育厅《关于加强中小学幼儿园教师培训安全工作的通知》精神，强化安全责任和意识，加强外出参训人员健康管理和安全教育，特别是交通安全、食宿安全等，建立健全安全制度及突发事件应急机制，确保教师培训平稳、顺利、安全实施。</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643" w:firstLineChars="200"/>
        <w:jc w:val="left"/>
        <w:textAlignment w:val="auto"/>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5.强化经费保障。</w:t>
      </w:r>
      <w:r>
        <w:rPr>
          <w:rFonts w:hint="eastAsia" w:ascii="仿宋" w:hAnsi="仿宋" w:eastAsia="仿宋" w:cs="仿宋"/>
          <w:b w:val="0"/>
          <w:bCs w:val="0"/>
          <w:sz w:val="32"/>
          <w:szCs w:val="32"/>
          <w:lang w:val="en-US" w:eastAsia="zh-CN"/>
        </w:rPr>
        <w:t>学校将认真落实公用经费中有关教师培训投入的政策，将钱花在开展师资培训、提升素质、提高质量的刀刃上，积极为全面推进教师培训工作创造条件。</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643" w:firstLineChars="200"/>
        <w:jc w:val="left"/>
        <w:textAlignment w:val="auto"/>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6.强化责任追究。</w:t>
      </w:r>
      <w:r>
        <w:rPr>
          <w:rFonts w:hint="eastAsia" w:ascii="仿宋" w:hAnsi="仿宋" w:eastAsia="仿宋" w:cs="仿宋"/>
          <w:b w:val="0"/>
          <w:bCs w:val="0"/>
          <w:sz w:val="32"/>
          <w:szCs w:val="32"/>
          <w:lang w:val="en-US" w:eastAsia="zh-CN"/>
        </w:rPr>
        <w:t>教师本人自愿放弃参训（签订自愿放弃参训说明书）或不按要求参训不按时完成研修作业的，一切责任由教师本人负责。</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640" w:firstLineChars="200"/>
        <w:jc w:val="left"/>
        <w:textAlignment w:val="auto"/>
        <w:rPr>
          <w:rFonts w:hint="eastAsia" w:ascii="仿宋" w:hAnsi="仿宋" w:eastAsia="仿宋" w:cs="仿宋"/>
          <w:b w:val="0"/>
          <w:bCs w:val="0"/>
          <w:sz w:val="32"/>
          <w:szCs w:val="32"/>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 xml:space="preserve">                              </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6080" w:firstLineChars="1900"/>
        <w:jc w:val="left"/>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2024年3月14日</w:t>
      </w:r>
    </w:p>
    <w:p>
      <w:pPr>
        <w:jc w:val="center"/>
        <w:rPr>
          <w:rFonts w:hint="eastAsia" w:ascii="宋体" w:hAnsi="宋体" w:eastAsia="宋体" w:cs="宋体"/>
          <w:b/>
          <w:bCs/>
          <w:sz w:val="36"/>
          <w:szCs w:val="36"/>
          <w:lang w:val="en-US" w:eastAsia="zh-CN"/>
        </w:rPr>
      </w:pPr>
    </w:p>
    <w:p>
      <w:pPr>
        <w:jc w:val="center"/>
        <w:rPr>
          <w:rFonts w:hint="eastAsia" w:ascii="宋体" w:hAnsi="宋体" w:eastAsia="宋体" w:cs="宋体"/>
          <w:b/>
          <w:bCs/>
          <w:sz w:val="36"/>
          <w:szCs w:val="36"/>
          <w:lang w:val="en-US" w:eastAsia="zh-CN"/>
        </w:rPr>
      </w:pPr>
    </w:p>
    <w:p>
      <w:pPr>
        <w:jc w:val="center"/>
        <w:rPr>
          <w:rFonts w:hint="eastAsia" w:ascii="宋体" w:hAnsi="宋体" w:eastAsia="宋体" w:cs="宋体"/>
          <w:b/>
          <w:bCs/>
          <w:sz w:val="36"/>
          <w:szCs w:val="36"/>
          <w:lang w:val="en-US" w:eastAsia="zh-CN"/>
        </w:rPr>
      </w:pPr>
    </w:p>
    <w:p>
      <w:pPr>
        <w:jc w:val="center"/>
        <w:rPr>
          <w:rFonts w:hint="eastAsia" w:ascii="宋体" w:hAnsi="宋体" w:eastAsia="宋体" w:cs="宋体"/>
          <w:b/>
          <w:bCs/>
          <w:sz w:val="36"/>
          <w:szCs w:val="36"/>
          <w:lang w:val="en-US" w:eastAsia="zh-CN"/>
        </w:rPr>
      </w:pPr>
    </w:p>
    <w:p>
      <w:pPr>
        <w:jc w:val="center"/>
        <w:rPr>
          <w:rFonts w:hint="eastAsia" w:ascii="宋体" w:hAnsi="宋体" w:eastAsia="宋体" w:cs="宋体"/>
          <w:b/>
          <w:bCs/>
          <w:sz w:val="36"/>
          <w:szCs w:val="36"/>
          <w:lang w:val="en-US" w:eastAsia="zh-CN"/>
        </w:rPr>
      </w:pPr>
    </w:p>
    <w:p>
      <w:pPr>
        <w:jc w:val="center"/>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2023-2024学年度下学期燎原中学校培训工作考核标准</w:t>
      </w:r>
    </w:p>
    <w:tbl>
      <w:tblPr>
        <w:tblStyle w:val="7"/>
        <w:tblW w:w="9899" w:type="dxa"/>
        <w:tblInd w:w="-3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709"/>
        <w:gridCol w:w="724"/>
        <w:gridCol w:w="5940"/>
        <w:gridCol w:w="1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724" w:type="dxa"/>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b/>
                <w:bCs w:val="0"/>
                <w:color w:val="000000"/>
                <w:kern w:val="2"/>
                <w:sz w:val="21"/>
                <w:szCs w:val="21"/>
                <w:lang w:val="en-US" w:eastAsia="zh-CN" w:bidi="ar-SA"/>
              </w:rPr>
            </w:pPr>
            <w:r>
              <w:rPr>
                <w:rFonts w:hint="eastAsia" w:ascii="宋体" w:hAnsi="宋体" w:eastAsia="宋体" w:cs="宋体"/>
                <w:b/>
                <w:bCs w:val="0"/>
                <w:color w:val="000000"/>
                <w:kern w:val="2"/>
                <w:sz w:val="21"/>
                <w:szCs w:val="21"/>
                <w:lang w:val="en-US" w:eastAsia="zh-CN" w:bidi="ar-SA"/>
              </w:rPr>
              <w:t>考核对象</w:t>
            </w:r>
          </w:p>
        </w:tc>
        <w:tc>
          <w:tcPr>
            <w:tcW w:w="709" w:type="dxa"/>
            <w:vAlign w:val="center"/>
          </w:tcPr>
          <w:p>
            <w:pPr>
              <w:keepNext w:val="0"/>
              <w:keepLines w:val="0"/>
              <w:pageBreakBefore w:val="0"/>
              <w:kinsoku/>
              <w:wordWrap/>
              <w:overflowPunct/>
              <w:topLinePunct w:val="0"/>
              <w:autoSpaceDE/>
              <w:autoSpaceDN/>
              <w:bidi w:val="0"/>
              <w:adjustRightInd/>
              <w:snapToGrid/>
              <w:spacing w:line="264" w:lineRule="auto"/>
              <w:ind w:firstLine="0" w:firstLineChars="0"/>
              <w:jc w:val="center"/>
              <w:textAlignment w:val="auto"/>
              <w:rPr>
                <w:rFonts w:hint="eastAsia" w:ascii="宋体" w:hAnsi="宋体" w:eastAsia="宋体" w:cs="宋体"/>
                <w:b/>
                <w:bCs w:val="0"/>
                <w:color w:val="000000"/>
                <w:kern w:val="2"/>
                <w:sz w:val="21"/>
                <w:szCs w:val="21"/>
                <w:lang w:val="en-US" w:eastAsia="zh-CN" w:bidi="ar-SA"/>
              </w:rPr>
            </w:pPr>
            <w:r>
              <w:rPr>
                <w:rFonts w:hint="eastAsia" w:ascii="宋体" w:hAnsi="宋体" w:eastAsia="宋体" w:cs="宋体"/>
                <w:b/>
                <w:bCs w:val="0"/>
                <w:color w:val="000000"/>
                <w:sz w:val="21"/>
                <w:szCs w:val="21"/>
                <w:lang w:eastAsia="zh-CN"/>
              </w:rPr>
              <w:t>项目</w:t>
            </w:r>
          </w:p>
        </w:tc>
        <w:tc>
          <w:tcPr>
            <w:tcW w:w="724" w:type="dxa"/>
            <w:vAlign w:val="center"/>
          </w:tcPr>
          <w:p>
            <w:pPr>
              <w:keepNext w:val="0"/>
              <w:keepLines w:val="0"/>
              <w:pageBreakBefore w:val="0"/>
              <w:kinsoku/>
              <w:wordWrap/>
              <w:overflowPunct/>
              <w:topLinePunct w:val="0"/>
              <w:autoSpaceDE/>
              <w:autoSpaceDN/>
              <w:bidi w:val="0"/>
              <w:adjustRightInd/>
              <w:snapToGrid/>
              <w:spacing w:line="264" w:lineRule="auto"/>
              <w:ind w:firstLine="0" w:firstLineChars="0"/>
              <w:jc w:val="center"/>
              <w:textAlignment w:val="auto"/>
              <w:rPr>
                <w:rFonts w:hint="eastAsia" w:ascii="宋体" w:hAnsi="宋体" w:eastAsia="宋体" w:cs="宋体"/>
                <w:b/>
                <w:bCs w:val="0"/>
                <w:color w:val="000000"/>
                <w:kern w:val="2"/>
                <w:sz w:val="21"/>
                <w:szCs w:val="21"/>
                <w:lang w:val="en-US" w:eastAsia="zh-CN" w:bidi="ar-SA"/>
              </w:rPr>
            </w:pPr>
            <w:r>
              <w:rPr>
                <w:rFonts w:hint="eastAsia" w:ascii="宋体" w:hAnsi="宋体" w:eastAsia="宋体" w:cs="宋体"/>
                <w:b/>
                <w:bCs w:val="0"/>
                <w:color w:val="000000"/>
                <w:sz w:val="21"/>
                <w:szCs w:val="21"/>
                <w:lang w:eastAsia="zh-CN"/>
              </w:rPr>
              <w:t>分值</w:t>
            </w:r>
          </w:p>
        </w:tc>
        <w:tc>
          <w:tcPr>
            <w:tcW w:w="5940" w:type="dxa"/>
            <w:vAlign w:val="center"/>
          </w:tcPr>
          <w:p>
            <w:pPr>
              <w:keepNext w:val="0"/>
              <w:keepLines w:val="0"/>
              <w:pageBreakBefore w:val="0"/>
              <w:kinsoku/>
              <w:wordWrap/>
              <w:overflowPunct/>
              <w:topLinePunct w:val="0"/>
              <w:autoSpaceDE/>
              <w:autoSpaceDN/>
              <w:bidi w:val="0"/>
              <w:adjustRightInd/>
              <w:snapToGrid/>
              <w:spacing w:line="264" w:lineRule="auto"/>
              <w:ind w:firstLine="0" w:firstLineChars="0"/>
              <w:jc w:val="center"/>
              <w:textAlignment w:val="auto"/>
              <w:rPr>
                <w:rFonts w:hint="eastAsia" w:ascii="宋体" w:hAnsi="宋体" w:eastAsia="宋体" w:cs="宋体"/>
                <w:b/>
                <w:bCs w:val="0"/>
                <w:color w:val="000000"/>
                <w:kern w:val="2"/>
                <w:sz w:val="21"/>
                <w:szCs w:val="21"/>
                <w:lang w:val="en-US" w:eastAsia="zh-CN" w:bidi="ar-SA"/>
              </w:rPr>
            </w:pPr>
            <w:r>
              <w:rPr>
                <w:rFonts w:hint="eastAsia" w:ascii="宋体" w:hAnsi="宋体" w:eastAsia="宋体" w:cs="宋体"/>
                <w:b/>
                <w:bCs w:val="0"/>
                <w:color w:val="000000"/>
                <w:sz w:val="21"/>
                <w:szCs w:val="21"/>
              </w:rPr>
              <w:t>考核内容、要求及标准</w:t>
            </w:r>
          </w:p>
        </w:tc>
        <w:tc>
          <w:tcPr>
            <w:tcW w:w="1802" w:type="dxa"/>
            <w:vAlign w:val="center"/>
          </w:tcPr>
          <w:p>
            <w:pPr>
              <w:keepNext w:val="0"/>
              <w:keepLines w:val="0"/>
              <w:pageBreakBefore w:val="0"/>
              <w:kinsoku/>
              <w:wordWrap/>
              <w:overflowPunct/>
              <w:topLinePunct w:val="0"/>
              <w:autoSpaceDE/>
              <w:autoSpaceDN/>
              <w:bidi w:val="0"/>
              <w:adjustRightInd/>
              <w:snapToGrid/>
              <w:spacing w:line="264" w:lineRule="auto"/>
              <w:ind w:firstLine="0" w:firstLineChars="0"/>
              <w:jc w:val="center"/>
              <w:textAlignment w:val="auto"/>
              <w:rPr>
                <w:rFonts w:hint="eastAsia" w:ascii="宋体" w:hAnsi="宋体" w:eastAsia="宋体" w:cs="宋体"/>
                <w:b/>
                <w:bCs w:val="0"/>
                <w:color w:val="000000"/>
                <w:kern w:val="2"/>
                <w:sz w:val="21"/>
                <w:szCs w:val="21"/>
                <w:lang w:val="en-US" w:eastAsia="zh-CN" w:bidi="ar-SA"/>
              </w:rPr>
            </w:pPr>
            <w:r>
              <w:rPr>
                <w:rFonts w:hint="eastAsia" w:ascii="宋体" w:hAnsi="宋体" w:eastAsia="宋体" w:cs="宋体"/>
                <w:b/>
                <w:bCs w:val="0"/>
                <w:color w:val="000000"/>
                <w:sz w:val="21"/>
                <w:szCs w:val="21"/>
              </w:rPr>
              <w:t>考核方式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1" w:hRule="atLeast"/>
        </w:trPr>
        <w:tc>
          <w:tcPr>
            <w:tcW w:w="724" w:type="dxa"/>
            <w:vMerge w:val="restart"/>
            <w:vAlign w:val="center"/>
          </w:tcPr>
          <w:p>
            <w:pPr>
              <w:jc w:val="center"/>
              <w:rPr>
                <w:rFonts w:hint="eastAsia" w:ascii="宋体" w:hAnsi="宋体" w:eastAsia="宋体" w:cs="宋体"/>
                <w:b w:val="0"/>
                <w:bCs w:val="0"/>
                <w:sz w:val="21"/>
                <w:szCs w:val="21"/>
                <w:vertAlign w:val="baseline"/>
                <w:lang w:val="en-US" w:eastAsia="zh-CN"/>
              </w:rPr>
            </w:pPr>
          </w:p>
          <w:p>
            <w:pPr>
              <w:jc w:val="center"/>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教师全员考核</w:t>
            </w:r>
          </w:p>
          <w:p>
            <w:pPr>
              <w:jc w:val="center"/>
              <w:rPr>
                <w:rFonts w:hint="eastAsia" w:ascii="宋体" w:hAnsi="宋体" w:eastAsia="宋体" w:cs="宋体"/>
                <w:b w:val="0"/>
                <w:bCs w:val="0"/>
                <w:sz w:val="21"/>
                <w:szCs w:val="21"/>
                <w:vertAlign w:val="baseline"/>
                <w:lang w:val="en-US" w:eastAsia="zh-CN"/>
              </w:rPr>
            </w:pPr>
          </w:p>
        </w:tc>
        <w:tc>
          <w:tcPr>
            <w:tcW w:w="709" w:type="dxa"/>
            <w:vAlign w:val="center"/>
          </w:tcPr>
          <w:p>
            <w:pPr>
              <w:jc w:val="center"/>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计划总结</w:t>
            </w:r>
          </w:p>
        </w:tc>
        <w:tc>
          <w:tcPr>
            <w:tcW w:w="724" w:type="dxa"/>
            <w:vAlign w:val="center"/>
          </w:tcPr>
          <w:p>
            <w:pPr>
              <w:jc w:val="center"/>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10分</w:t>
            </w:r>
          </w:p>
        </w:tc>
        <w:tc>
          <w:tcPr>
            <w:tcW w:w="5940" w:type="dxa"/>
            <w:vAlign w:val="center"/>
          </w:tcPr>
          <w:p>
            <w:pPr>
              <w:jc w:val="both"/>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lang w:val="en-US" w:eastAsia="zh-CN"/>
              </w:rPr>
              <w:t>学期初（3月15日之前）、学期末（7月15日之前）各单位要向学校提交教师自主研修计划和培训总结。</w:t>
            </w:r>
          </w:p>
        </w:tc>
        <w:tc>
          <w:tcPr>
            <w:tcW w:w="1802" w:type="dxa"/>
            <w:vAlign w:val="center"/>
          </w:tcPr>
          <w:p>
            <w:pPr>
              <w:jc w:val="center"/>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查看材料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atLeast"/>
        </w:trPr>
        <w:tc>
          <w:tcPr>
            <w:tcW w:w="724" w:type="dxa"/>
            <w:vMerge w:val="continue"/>
            <w:vAlign w:val="center"/>
          </w:tcPr>
          <w:p>
            <w:pPr>
              <w:jc w:val="center"/>
              <w:rPr>
                <w:rFonts w:hint="eastAsia" w:ascii="宋体" w:hAnsi="宋体" w:eastAsia="宋体" w:cs="宋体"/>
                <w:b w:val="0"/>
                <w:bCs w:val="0"/>
                <w:sz w:val="21"/>
                <w:szCs w:val="21"/>
                <w:vertAlign w:val="baseline"/>
                <w:lang w:val="en-US" w:eastAsia="zh-CN"/>
              </w:rPr>
            </w:pPr>
          </w:p>
        </w:tc>
        <w:tc>
          <w:tcPr>
            <w:tcW w:w="709" w:type="dxa"/>
            <w:vMerge w:val="restart"/>
            <w:vAlign w:val="center"/>
          </w:tcPr>
          <w:p>
            <w:pPr>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sz w:val="21"/>
                <w:szCs w:val="21"/>
                <w:vertAlign w:val="baseline"/>
                <w:lang w:val="en-US" w:eastAsia="zh-CN"/>
              </w:rPr>
              <w:t>师培情况</w:t>
            </w:r>
          </w:p>
        </w:tc>
        <w:tc>
          <w:tcPr>
            <w:tcW w:w="724" w:type="dxa"/>
            <w:vAlign w:val="center"/>
          </w:tcPr>
          <w:p>
            <w:pPr>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sz w:val="21"/>
                <w:szCs w:val="21"/>
                <w:vertAlign w:val="baseline"/>
                <w:lang w:val="en-US" w:eastAsia="zh-CN"/>
              </w:rPr>
              <w:t>10分</w:t>
            </w:r>
          </w:p>
        </w:tc>
        <w:tc>
          <w:tcPr>
            <w:tcW w:w="5940" w:type="dxa"/>
            <w:vAlign w:val="center"/>
          </w:tcPr>
          <w:p>
            <w:pPr>
              <w:jc w:val="both"/>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sz w:val="21"/>
                <w:szCs w:val="21"/>
                <w:lang w:val="en-US" w:eastAsia="zh-CN"/>
              </w:rPr>
              <w:t>教师积极参与培训</w:t>
            </w:r>
          </w:p>
        </w:tc>
        <w:tc>
          <w:tcPr>
            <w:tcW w:w="1802" w:type="dxa"/>
            <w:vAlign w:val="center"/>
          </w:tcPr>
          <w:p>
            <w:pPr>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sz w:val="21"/>
                <w:szCs w:val="21"/>
                <w:vertAlign w:val="baseline"/>
                <w:lang w:val="en-US" w:eastAsia="zh-CN"/>
              </w:rPr>
              <w:t>查看签到簿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atLeast"/>
        </w:trPr>
        <w:tc>
          <w:tcPr>
            <w:tcW w:w="724" w:type="dxa"/>
            <w:vMerge w:val="continue"/>
            <w:vAlign w:val="center"/>
          </w:tcPr>
          <w:p>
            <w:pPr>
              <w:jc w:val="center"/>
              <w:rPr>
                <w:rFonts w:hint="eastAsia" w:ascii="宋体" w:hAnsi="宋体" w:eastAsia="宋体" w:cs="宋体"/>
                <w:b w:val="0"/>
                <w:bCs w:val="0"/>
                <w:sz w:val="21"/>
                <w:szCs w:val="21"/>
                <w:vertAlign w:val="baseline"/>
                <w:lang w:val="en-US" w:eastAsia="zh-CN"/>
              </w:rPr>
            </w:pPr>
          </w:p>
        </w:tc>
        <w:tc>
          <w:tcPr>
            <w:tcW w:w="709" w:type="dxa"/>
            <w:vMerge w:val="continue"/>
            <w:vAlign w:val="center"/>
          </w:tcPr>
          <w:p>
            <w:pPr>
              <w:jc w:val="center"/>
              <w:rPr>
                <w:rFonts w:hint="eastAsia" w:ascii="宋体" w:hAnsi="宋体" w:eastAsia="宋体" w:cs="宋体"/>
                <w:b w:val="0"/>
                <w:bCs w:val="0"/>
                <w:sz w:val="21"/>
                <w:szCs w:val="21"/>
                <w:vertAlign w:val="baseline"/>
                <w:lang w:val="en-US" w:eastAsia="zh-CN"/>
              </w:rPr>
            </w:pPr>
          </w:p>
        </w:tc>
        <w:tc>
          <w:tcPr>
            <w:tcW w:w="724" w:type="dxa"/>
            <w:vAlign w:val="center"/>
          </w:tcPr>
          <w:p>
            <w:pPr>
              <w:jc w:val="center"/>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15分</w:t>
            </w:r>
          </w:p>
        </w:tc>
        <w:tc>
          <w:tcPr>
            <w:tcW w:w="5940" w:type="dxa"/>
            <w:vAlign w:val="center"/>
          </w:tcPr>
          <w:p>
            <w:pPr>
              <w:jc w:val="both"/>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sz w:val="21"/>
                <w:szCs w:val="21"/>
                <w:lang w:val="en-US" w:eastAsia="zh-CN"/>
              </w:rPr>
              <w:t>全程参与校际主题联研</w:t>
            </w:r>
          </w:p>
        </w:tc>
        <w:tc>
          <w:tcPr>
            <w:tcW w:w="1802" w:type="dxa"/>
            <w:vAlign w:val="center"/>
          </w:tcPr>
          <w:p>
            <w:pPr>
              <w:jc w:val="center"/>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查看记录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atLeast"/>
        </w:trPr>
        <w:tc>
          <w:tcPr>
            <w:tcW w:w="724" w:type="dxa"/>
            <w:vMerge w:val="continue"/>
            <w:vAlign w:val="center"/>
          </w:tcPr>
          <w:p>
            <w:pPr>
              <w:jc w:val="center"/>
              <w:rPr>
                <w:rFonts w:hint="eastAsia" w:ascii="宋体" w:hAnsi="宋体" w:eastAsia="宋体" w:cs="宋体"/>
                <w:b w:val="0"/>
                <w:bCs w:val="0"/>
                <w:sz w:val="21"/>
                <w:szCs w:val="21"/>
                <w:vertAlign w:val="baseline"/>
                <w:lang w:val="en-US" w:eastAsia="zh-CN"/>
              </w:rPr>
            </w:pPr>
          </w:p>
        </w:tc>
        <w:tc>
          <w:tcPr>
            <w:tcW w:w="709" w:type="dxa"/>
            <w:vMerge w:val="continue"/>
            <w:vAlign w:val="center"/>
          </w:tcPr>
          <w:p>
            <w:pPr>
              <w:jc w:val="center"/>
              <w:rPr>
                <w:rFonts w:hint="eastAsia" w:ascii="宋体" w:hAnsi="宋体" w:eastAsia="宋体" w:cs="宋体"/>
                <w:b w:val="0"/>
                <w:bCs w:val="0"/>
                <w:sz w:val="21"/>
                <w:szCs w:val="21"/>
                <w:vertAlign w:val="baseline"/>
                <w:lang w:val="en-US" w:eastAsia="zh-CN"/>
              </w:rPr>
            </w:pPr>
          </w:p>
        </w:tc>
        <w:tc>
          <w:tcPr>
            <w:tcW w:w="724" w:type="dxa"/>
            <w:vAlign w:val="center"/>
          </w:tcPr>
          <w:p>
            <w:pPr>
              <w:jc w:val="center"/>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15分</w:t>
            </w:r>
          </w:p>
        </w:tc>
        <w:tc>
          <w:tcPr>
            <w:tcW w:w="5940" w:type="dxa"/>
            <w:vAlign w:val="center"/>
          </w:tcPr>
          <w:p>
            <w:pPr>
              <w:jc w:val="both"/>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sz w:val="21"/>
                <w:szCs w:val="21"/>
                <w:lang w:val="en-US" w:eastAsia="zh-CN"/>
              </w:rPr>
              <w:t>完成学期教研工作任务</w:t>
            </w:r>
          </w:p>
        </w:tc>
        <w:tc>
          <w:tcPr>
            <w:tcW w:w="1802" w:type="dxa"/>
            <w:vAlign w:val="center"/>
          </w:tcPr>
          <w:p>
            <w:pPr>
              <w:jc w:val="center"/>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查看记录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atLeast"/>
        </w:trPr>
        <w:tc>
          <w:tcPr>
            <w:tcW w:w="724" w:type="dxa"/>
            <w:vMerge w:val="continue"/>
            <w:vAlign w:val="center"/>
          </w:tcPr>
          <w:p>
            <w:pPr>
              <w:jc w:val="center"/>
              <w:rPr>
                <w:rFonts w:hint="eastAsia" w:ascii="宋体" w:hAnsi="宋体" w:eastAsia="宋体" w:cs="宋体"/>
                <w:b w:val="0"/>
                <w:bCs w:val="0"/>
                <w:sz w:val="21"/>
                <w:szCs w:val="21"/>
                <w:vertAlign w:val="baseline"/>
                <w:lang w:val="en-US" w:eastAsia="zh-CN"/>
              </w:rPr>
            </w:pPr>
          </w:p>
        </w:tc>
        <w:tc>
          <w:tcPr>
            <w:tcW w:w="709" w:type="dxa"/>
            <w:vMerge w:val="continue"/>
            <w:vAlign w:val="center"/>
          </w:tcPr>
          <w:p>
            <w:pPr>
              <w:jc w:val="center"/>
              <w:rPr>
                <w:rFonts w:hint="eastAsia" w:ascii="宋体" w:hAnsi="宋体" w:eastAsia="宋体" w:cs="宋体"/>
                <w:b w:val="0"/>
                <w:bCs w:val="0"/>
                <w:sz w:val="21"/>
                <w:szCs w:val="21"/>
                <w:vertAlign w:val="baseline"/>
                <w:lang w:val="en-US" w:eastAsia="zh-CN"/>
              </w:rPr>
            </w:pPr>
          </w:p>
        </w:tc>
        <w:tc>
          <w:tcPr>
            <w:tcW w:w="724" w:type="dxa"/>
            <w:vAlign w:val="center"/>
          </w:tcPr>
          <w:p>
            <w:pPr>
              <w:jc w:val="center"/>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15分</w:t>
            </w:r>
          </w:p>
        </w:tc>
        <w:tc>
          <w:tcPr>
            <w:tcW w:w="5940" w:type="dxa"/>
            <w:vAlign w:val="center"/>
          </w:tcPr>
          <w:p>
            <w:pPr>
              <w:jc w:val="both"/>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sz w:val="21"/>
                <w:szCs w:val="21"/>
                <w:lang w:val="en-US" w:eastAsia="zh-CN"/>
              </w:rPr>
              <w:t>及时上报有关“推门听课”相关材料</w:t>
            </w:r>
          </w:p>
        </w:tc>
        <w:tc>
          <w:tcPr>
            <w:tcW w:w="1802" w:type="dxa"/>
            <w:vAlign w:val="center"/>
          </w:tcPr>
          <w:p>
            <w:pPr>
              <w:jc w:val="center"/>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查看记录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atLeast"/>
        </w:trPr>
        <w:tc>
          <w:tcPr>
            <w:tcW w:w="724" w:type="dxa"/>
            <w:vMerge w:val="continue"/>
            <w:vAlign w:val="center"/>
          </w:tcPr>
          <w:p>
            <w:pPr>
              <w:jc w:val="center"/>
              <w:rPr>
                <w:rFonts w:hint="eastAsia" w:ascii="宋体" w:hAnsi="宋体" w:eastAsia="宋体" w:cs="宋体"/>
                <w:b w:val="0"/>
                <w:bCs w:val="0"/>
                <w:sz w:val="21"/>
                <w:szCs w:val="21"/>
                <w:vertAlign w:val="baseline"/>
                <w:lang w:val="en-US" w:eastAsia="zh-CN"/>
              </w:rPr>
            </w:pPr>
          </w:p>
        </w:tc>
        <w:tc>
          <w:tcPr>
            <w:tcW w:w="709" w:type="dxa"/>
            <w:vMerge w:val="continue"/>
            <w:vAlign w:val="center"/>
          </w:tcPr>
          <w:p>
            <w:pPr>
              <w:jc w:val="center"/>
              <w:rPr>
                <w:rFonts w:hint="eastAsia" w:ascii="宋体" w:hAnsi="宋体" w:eastAsia="宋体" w:cs="宋体"/>
                <w:b w:val="0"/>
                <w:bCs w:val="0"/>
                <w:sz w:val="21"/>
                <w:szCs w:val="21"/>
                <w:vertAlign w:val="baseline"/>
                <w:lang w:val="en-US" w:eastAsia="zh-CN"/>
              </w:rPr>
            </w:pPr>
          </w:p>
        </w:tc>
        <w:tc>
          <w:tcPr>
            <w:tcW w:w="724" w:type="dxa"/>
            <w:vAlign w:val="center"/>
          </w:tcPr>
          <w:p>
            <w:pPr>
              <w:jc w:val="center"/>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15分</w:t>
            </w:r>
          </w:p>
        </w:tc>
        <w:tc>
          <w:tcPr>
            <w:tcW w:w="5940" w:type="dxa"/>
            <w:vAlign w:val="center"/>
          </w:tcPr>
          <w:p>
            <w:pPr>
              <w:jc w:val="both"/>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sz w:val="21"/>
                <w:szCs w:val="21"/>
                <w:lang w:val="en-US" w:eastAsia="zh-CN"/>
              </w:rPr>
              <w:t>积极申报并参加教师能力素质提升校级竞赛</w:t>
            </w:r>
          </w:p>
        </w:tc>
        <w:tc>
          <w:tcPr>
            <w:tcW w:w="1802" w:type="dxa"/>
            <w:vAlign w:val="center"/>
          </w:tcPr>
          <w:p>
            <w:pPr>
              <w:jc w:val="center"/>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查看记录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trPr>
        <w:tc>
          <w:tcPr>
            <w:tcW w:w="724" w:type="dxa"/>
            <w:vMerge w:val="continue"/>
            <w:vAlign w:val="center"/>
          </w:tcPr>
          <w:p>
            <w:pPr>
              <w:jc w:val="center"/>
              <w:rPr>
                <w:rFonts w:hint="eastAsia" w:ascii="宋体" w:hAnsi="宋体" w:eastAsia="宋体" w:cs="宋体"/>
                <w:b w:val="0"/>
                <w:bCs w:val="0"/>
                <w:sz w:val="21"/>
                <w:szCs w:val="21"/>
                <w:vertAlign w:val="baseline"/>
                <w:lang w:val="en-US" w:eastAsia="zh-CN"/>
              </w:rPr>
            </w:pPr>
          </w:p>
        </w:tc>
        <w:tc>
          <w:tcPr>
            <w:tcW w:w="709" w:type="dxa"/>
            <w:vAlign w:val="center"/>
          </w:tcPr>
          <w:p>
            <w:pPr>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sz w:val="21"/>
                <w:szCs w:val="21"/>
                <w:vertAlign w:val="baseline"/>
                <w:lang w:val="en-US" w:eastAsia="zh-CN"/>
              </w:rPr>
              <w:t>外出培训</w:t>
            </w:r>
          </w:p>
        </w:tc>
        <w:tc>
          <w:tcPr>
            <w:tcW w:w="724" w:type="dxa"/>
            <w:vAlign w:val="center"/>
          </w:tcPr>
          <w:p>
            <w:pPr>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sz w:val="21"/>
                <w:szCs w:val="21"/>
                <w:vertAlign w:val="baseline"/>
                <w:lang w:val="en-US" w:eastAsia="zh-CN"/>
              </w:rPr>
              <w:t>10分</w:t>
            </w:r>
          </w:p>
        </w:tc>
        <w:tc>
          <w:tcPr>
            <w:tcW w:w="5940" w:type="dxa"/>
            <w:vAlign w:val="center"/>
          </w:tcPr>
          <w:p>
            <w:pPr>
              <w:jc w:val="both"/>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sz w:val="21"/>
                <w:szCs w:val="21"/>
                <w:lang w:val="en-US" w:eastAsia="zh-CN"/>
              </w:rPr>
              <w:t>外派基层学校兼职教研员或教师参与校外培训任务。</w:t>
            </w:r>
          </w:p>
        </w:tc>
        <w:tc>
          <w:tcPr>
            <w:tcW w:w="1802" w:type="dxa"/>
            <w:vAlign w:val="center"/>
          </w:tcPr>
          <w:p>
            <w:pPr>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sz w:val="21"/>
                <w:szCs w:val="21"/>
                <w:vertAlign w:val="baseline"/>
                <w:lang w:val="en-US" w:eastAsia="zh-CN"/>
              </w:rPr>
              <w:t>看参培情况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trPr>
        <w:tc>
          <w:tcPr>
            <w:tcW w:w="724" w:type="dxa"/>
            <w:vMerge w:val="continue"/>
            <w:vAlign w:val="center"/>
          </w:tcPr>
          <w:p>
            <w:pPr>
              <w:jc w:val="center"/>
              <w:rPr>
                <w:rFonts w:hint="eastAsia" w:ascii="宋体" w:hAnsi="宋体" w:eastAsia="宋体" w:cs="宋体"/>
                <w:b w:val="0"/>
                <w:bCs w:val="0"/>
                <w:sz w:val="21"/>
                <w:szCs w:val="21"/>
                <w:vertAlign w:val="baseline"/>
                <w:lang w:val="en-US" w:eastAsia="zh-CN"/>
              </w:rPr>
            </w:pPr>
          </w:p>
        </w:tc>
        <w:tc>
          <w:tcPr>
            <w:tcW w:w="709" w:type="dxa"/>
            <w:vAlign w:val="center"/>
          </w:tcPr>
          <w:p>
            <w:pPr>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sz w:val="21"/>
                <w:szCs w:val="21"/>
                <w:vertAlign w:val="baseline"/>
                <w:lang w:val="en-US" w:eastAsia="zh-CN"/>
              </w:rPr>
              <w:t>材料上报</w:t>
            </w:r>
          </w:p>
        </w:tc>
        <w:tc>
          <w:tcPr>
            <w:tcW w:w="724" w:type="dxa"/>
            <w:vAlign w:val="center"/>
          </w:tcPr>
          <w:p>
            <w:pPr>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sz w:val="21"/>
                <w:szCs w:val="21"/>
                <w:vertAlign w:val="baseline"/>
                <w:lang w:val="en-US" w:eastAsia="zh-CN"/>
              </w:rPr>
              <w:t>10分</w:t>
            </w:r>
          </w:p>
        </w:tc>
        <w:tc>
          <w:tcPr>
            <w:tcW w:w="5940" w:type="dxa"/>
            <w:vAlign w:val="center"/>
          </w:tcPr>
          <w:p>
            <w:pPr>
              <w:jc w:val="both"/>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sz w:val="21"/>
                <w:szCs w:val="21"/>
                <w:lang w:val="en-US" w:eastAsia="zh-CN"/>
              </w:rPr>
              <w:t>对平时各种教师培训材料的完成和上报情况进行考核。</w:t>
            </w:r>
          </w:p>
        </w:tc>
        <w:tc>
          <w:tcPr>
            <w:tcW w:w="1802" w:type="dxa"/>
            <w:vAlign w:val="center"/>
          </w:tcPr>
          <w:p>
            <w:pPr>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sz w:val="21"/>
                <w:szCs w:val="21"/>
                <w:vertAlign w:val="baseline"/>
                <w:lang w:val="en-US" w:eastAsia="zh-CN"/>
              </w:rPr>
              <w:t>查看记录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6" w:hRule="atLeast"/>
        </w:trPr>
        <w:tc>
          <w:tcPr>
            <w:tcW w:w="724" w:type="dxa"/>
            <w:vMerge w:val="continue"/>
            <w:vAlign w:val="center"/>
          </w:tcPr>
          <w:p>
            <w:pPr>
              <w:jc w:val="center"/>
              <w:rPr>
                <w:rFonts w:hint="eastAsia" w:ascii="宋体" w:hAnsi="宋体" w:eastAsia="宋体" w:cs="宋体"/>
                <w:b w:val="0"/>
                <w:bCs w:val="0"/>
                <w:sz w:val="21"/>
                <w:szCs w:val="21"/>
                <w:vertAlign w:val="baseline"/>
                <w:lang w:val="en-US" w:eastAsia="zh-CN"/>
              </w:rPr>
            </w:pPr>
          </w:p>
        </w:tc>
        <w:tc>
          <w:tcPr>
            <w:tcW w:w="709" w:type="dxa"/>
            <w:vAlign w:val="center"/>
          </w:tcPr>
          <w:p>
            <w:pPr>
              <w:jc w:val="center"/>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奖励加分</w:t>
            </w:r>
          </w:p>
        </w:tc>
        <w:tc>
          <w:tcPr>
            <w:tcW w:w="724" w:type="dxa"/>
            <w:vAlign w:val="center"/>
          </w:tcPr>
          <w:p>
            <w:pPr>
              <w:jc w:val="center"/>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10分</w:t>
            </w:r>
          </w:p>
        </w:tc>
        <w:tc>
          <w:tcPr>
            <w:tcW w:w="5940" w:type="dxa"/>
            <w:vAlign w:val="center"/>
          </w:tcPr>
          <w:p>
            <w:pPr>
              <w:jc w:val="both"/>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sz w:val="21"/>
                <w:szCs w:val="21"/>
                <w:lang w:val="en-US" w:eastAsia="zh-CN"/>
              </w:rPr>
              <w:t>第一，在教师进修学校的要求下作为兼职教研员等教师为进修校做研培工作的，每人次给教师加1分；第三，参加市级以上能力素质提升等竞赛并获奖，获市奖的每人次给学校加1分，获省奖的每人次给学校加2分，此项考核满分为10分。</w:t>
            </w:r>
          </w:p>
        </w:tc>
        <w:tc>
          <w:tcPr>
            <w:tcW w:w="1802" w:type="dxa"/>
            <w:vAlign w:val="center"/>
          </w:tcPr>
          <w:p>
            <w:pPr>
              <w:jc w:val="center"/>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以进修学校活动安排和教师获奖情况为准</w:t>
            </w:r>
          </w:p>
        </w:tc>
      </w:tr>
    </w:tbl>
    <w:p>
      <w:pPr>
        <w:keepNext w:val="0"/>
        <w:keepLines w:val="0"/>
        <w:pageBreakBefore w:val="0"/>
        <w:widowControl/>
        <w:suppressLineNumbers w:val="0"/>
        <w:kinsoku/>
        <w:wordWrap/>
        <w:overflowPunct/>
        <w:topLinePunct w:val="0"/>
        <w:autoSpaceDE/>
        <w:autoSpaceDN/>
        <w:bidi w:val="0"/>
        <w:adjustRightInd/>
        <w:snapToGrid/>
        <w:spacing w:line="540" w:lineRule="exact"/>
        <w:jc w:val="both"/>
        <w:textAlignment w:val="auto"/>
        <w:rPr>
          <w:rFonts w:hint="default" w:ascii="仿宋" w:hAnsi="仿宋" w:eastAsia="仿宋" w:cs="仿宋"/>
          <w:b w:val="0"/>
          <w:bCs w:val="0"/>
          <w:sz w:val="18"/>
          <w:szCs w:val="18"/>
          <w:lang w:val="en-US" w:eastAsia="zh-CN"/>
        </w:rPr>
      </w:pPr>
    </w:p>
    <w:sectPr>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k4OWM4NjZhM2NlMTk4ODhhYjMxMmEyYTM4ZWIyOWIifQ=="/>
  </w:docVars>
  <w:rsids>
    <w:rsidRoot w:val="05753DF1"/>
    <w:rsid w:val="04705412"/>
    <w:rsid w:val="049802FF"/>
    <w:rsid w:val="049B6A2A"/>
    <w:rsid w:val="05753DF1"/>
    <w:rsid w:val="06A25E8B"/>
    <w:rsid w:val="08C43471"/>
    <w:rsid w:val="09AA4F4F"/>
    <w:rsid w:val="0D9226DF"/>
    <w:rsid w:val="13212C2A"/>
    <w:rsid w:val="13E236AC"/>
    <w:rsid w:val="26DC0C10"/>
    <w:rsid w:val="2CFC2882"/>
    <w:rsid w:val="2E1D349F"/>
    <w:rsid w:val="32CB171C"/>
    <w:rsid w:val="36625A11"/>
    <w:rsid w:val="36700C56"/>
    <w:rsid w:val="3ACD6A84"/>
    <w:rsid w:val="3AFA23F5"/>
    <w:rsid w:val="3B914B85"/>
    <w:rsid w:val="43401A66"/>
    <w:rsid w:val="4C702C52"/>
    <w:rsid w:val="537C01B7"/>
    <w:rsid w:val="5B460177"/>
    <w:rsid w:val="5C2B6836"/>
    <w:rsid w:val="69325E7B"/>
    <w:rsid w:val="6C136E04"/>
    <w:rsid w:val="6ED162D9"/>
    <w:rsid w:val="71274FBC"/>
    <w:rsid w:val="755D2C86"/>
    <w:rsid w:val="7827208C"/>
    <w:rsid w:val="799E680F"/>
    <w:rsid w:val="7AFD0B3B"/>
    <w:rsid w:val="7B79578D"/>
    <w:rsid w:val="7C5B2F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9"/>
    <w:pPr>
      <w:widowControl/>
      <w:spacing w:before="100" w:beforeAutospacing="1" w:after="100" w:afterAutospacing="1" w:line="240" w:lineRule="auto"/>
      <w:jc w:val="left"/>
      <w:outlineLvl w:val="0"/>
    </w:pPr>
    <w:rPr>
      <w:rFonts w:ascii="宋体" w:hAnsi="宋体" w:eastAsia="宋体" w:cs="宋体"/>
      <w:b/>
      <w:bCs/>
      <w:kern w:val="36"/>
      <w:sz w:val="48"/>
      <w:szCs w:val="48"/>
    </w:rPr>
  </w:style>
  <w:style w:type="character" w:default="1" w:styleId="8">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3">
    <w:name w:val="Body Text"/>
    <w:basedOn w:val="1"/>
    <w:autoRedefine/>
    <w:qFormat/>
    <w:uiPriority w:val="0"/>
  </w:style>
  <w:style w:type="paragraph" w:styleId="4">
    <w:name w:val="footer"/>
    <w:basedOn w:val="1"/>
    <w:autoRedefine/>
    <w:qFormat/>
    <w:uiPriority w:val="0"/>
    <w:pPr>
      <w:tabs>
        <w:tab w:val="center" w:pos="4153"/>
        <w:tab w:val="right" w:pos="8306"/>
      </w:tabs>
      <w:snapToGrid w:val="0"/>
      <w:jc w:val="left"/>
    </w:pPr>
    <w:rPr>
      <w:sz w:val="18"/>
      <w:szCs w:val="18"/>
    </w:rPr>
  </w:style>
  <w:style w:type="paragraph" w:styleId="5">
    <w:name w:val="Normal (Web)"/>
    <w:basedOn w:val="1"/>
    <w:autoRedefine/>
    <w:qFormat/>
    <w:uiPriority w:val="99"/>
    <w:pPr>
      <w:widowControl/>
      <w:spacing w:before="100" w:beforeAutospacing="1" w:after="100" w:afterAutospacing="1"/>
      <w:jc w:val="left"/>
    </w:pPr>
    <w:rPr>
      <w:rFonts w:ascii="宋体" w:hAnsi="宋体" w:cs="宋体"/>
      <w:kern w:val="0"/>
      <w:sz w:val="24"/>
      <w:szCs w:val="24"/>
    </w:rPr>
  </w:style>
  <w:style w:type="table" w:styleId="7">
    <w:name w:val="Table Grid"/>
    <w:basedOn w:val="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autoRedefine/>
    <w:qFormat/>
    <w:uiPriority w:val="0"/>
  </w:style>
  <w:style w:type="paragraph" w:customStyle="1" w:styleId="10">
    <w:name w:val="文件正文"/>
    <w:basedOn w:val="1"/>
    <w:autoRedefine/>
    <w:qFormat/>
    <w:uiPriority w:val="0"/>
    <w:rPr>
      <w:rFonts w:ascii="仿宋_GB2312" w:hAnsi="Calibri" w:eastAsia="仿宋_GB2312"/>
      <w:sz w:val="32"/>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4323</Words>
  <Characters>4483</Characters>
  <Lines>0</Lines>
  <Paragraphs>0</Paragraphs>
  <TotalTime>11</TotalTime>
  <ScaleCrop>false</ScaleCrop>
  <LinksUpToDate>false</LinksUpToDate>
  <CharactersWithSpaces>4529</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2023-09-14T07:14:00Z</dcterms:created>
  <dc:creator>馨然</dc:creator>
  <cp:lastModifiedBy>Administrator</cp:lastModifiedBy>
  <cp:lastPrinted>2024-03-04T06:30:00Z</cp:lastPrinted>
  <dcterms:modified xsi:type="dcterms:W3CDTF">2024-03-14T06:58:18Z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4084B7B0B55E4E2392DA0877349F19A1_13</vt:lpwstr>
  </property>
</Properties>
</file>