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2B0171">
      <w:pPr>
        <w:jc w:val="center"/>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2024-2025学年度上学期教师校本培训计划</w:t>
      </w:r>
    </w:p>
    <w:p w14:paraId="7D07D7DD">
      <w:pPr>
        <w:jc w:val="center"/>
        <w:rPr>
          <w:rFonts w:hint="eastAsia" w:ascii="楷体" w:hAnsi="楷体" w:eastAsia="楷体" w:cs="楷体"/>
          <w:b w:val="0"/>
          <w:bCs w:val="0"/>
          <w:sz w:val="30"/>
          <w:szCs w:val="30"/>
          <w:lang w:val="en-US" w:eastAsia="zh-CN"/>
        </w:rPr>
      </w:pPr>
      <w:r>
        <w:rPr>
          <w:rFonts w:hint="eastAsia" w:ascii="楷体" w:hAnsi="楷体" w:eastAsia="楷体" w:cs="楷体"/>
          <w:b w:val="0"/>
          <w:bCs w:val="0"/>
          <w:sz w:val="30"/>
          <w:szCs w:val="30"/>
          <w:lang w:val="en-US" w:eastAsia="zh-CN"/>
        </w:rPr>
        <w:t xml:space="preserve">      兰西县北安中学</w:t>
      </w:r>
    </w:p>
    <w:p w14:paraId="1EF3502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按照2024年兰西县教体局培训工作会议精神和兰西县教师进修学校的统一部署，紧紧围绕全面提高我校教育教学质量和教师的师德素养、综合素质、业务水平为核心目标，进一步提升教师能力素质，帮助教师通过优化课堂教学策略，培养学生发展核心素养与创新能力，不断深化课程改革，促进学生全面发展，特制定本学期教师培训计划。</w:t>
      </w:r>
    </w:p>
    <w:p w14:paraId="60498C1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一、指导思想</w:t>
      </w:r>
    </w:p>
    <w:p w14:paraId="6B0A6A6A">
      <w:pPr>
        <w:spacing w:line="560" w:lineRule="atLeast"/>
        <w:ind w:firstLine="640" w:firstLineChars="200"/>
        <w:rPr>
          <w:rFonts w:hint="eastAsia" w:ascii="仿宋" w:hAnsi="仿宋" w:eastAsia="仿宋" w:cs="仿宋"/>
          <w:color w:val="000000"/>
          <w:sz w:val="32"/>
          <w:szCs w:val="32"/>
          <w:lang w:eastAsia="zh-CN"/>
        </w:rPr>
      </w:pPr>
      <w:r>
        <w:rPr>
          <w:rFonts w:hint="eastAsia" w:ascii="仿宋" w:hAnsi="仿宋" w:eastAsia="仿宋" w:cs="仿宋"/>
          <w:color w:val="000000"/>
          <w:sz w:val="32"/>
          <w:szCs w:val="32"/>
        </w:rPr>
        <w:t>以习近平新时代中国特色社会主义思想为指导，深入贯彻落实党的</w:t>
      </w:r>
      <w:r>
        <w:rPr>
          <w:rFonts w:hint="eastAsia" w:ascii="仿宋" w:hAnsi="仿宋" w:eastAsia="仿宋" w:cs="仿宋"/>
          <w:color w:val="000000"/>
          <w:sz w:val="32"/>
          <w:szCs w:val="32"/>
          <w:lang w:val="en-US" w:eastAsia="zh-CN"/>
        </w:rPr>
        <w:t>二十</w:t>
      </w:r>
      <w:r>
        <w:rPr>
          <w:rFonts w:hint="eastAsia" w:ascii="仿宋" w:hAnsi="仿宋" w:eastAsia="仿宋" w:cs="仿宋"/>
          <w:color w:val="000000"/>
          <w:sz w:val="32"/>
          <w:szCs w:val="32"/>
        </w:rPr>
        <w:t>大</w:t>
      </w:r>
      <w:r>
        <w:rPr>
          <w:rFonts w:hint="eastAsia" w:ascii="仿宋" w:hAnsi="仿宋" w:eastAsia="仿宋" w:cs="仿宋"/>
          <w:color w:val="000000"/>
          <w:sz w:val="32"/>
          <w:szCs w:val="32"/>
          <w:lang w:val="en-US" w:eastAsia="zh-CN"/>
        </w:rPr>
        <w:t>三中全会的会议</w:t>
      </w:r>
      <w:r>
        <w:rPr>
          <w:rFonts w:hint="eastAsia" w:ascii="仿宋" w:hAnsi="仿宋" w:eastAsia="仿宋" w:cs="仿宋"/>
          <w:color w:val="000000"/>
          <w:sz w:val="32"/>
          <w:szCs w:val="32"/>
        </w:rPr>
        <w:t>精神，围绕培养造就高素质专业化教师队伍的战略目标，本着“以培促学</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以</w:t>
      </w:r>
      <w:r>
        <w:rPr>
          <w:rFonts w:hint="eastAsia" w:ascii="仿宋" w:hAnsi="仿宋" w:eastAsia="仿宋" w:cs="仿宋"/>
          <w:color w:val="000000"/>
          <w:sz w:val="32"/>
          <w:szCs w:val="32"/>
          <w:lang w:val="en-US" w:eastAsia="zh-CN"/>
        </w:rPr>
        <w:t>培</w:t>
      </w:r>
      <w:r>
        <w:rPr>
          <w:rFonts w:hint="eastAsia" w:ascii="仿宋" w:hAnsi="仿宋" w:eastAsia="仿宋" w:cs="仿宋"/>
          <w:color w:val="000000"/>
          <w:sz w:val="32"/>
          <w:szCs w:val="32"/>
        </w:rPr>
        <w:t>促</w:t>
      </w:r>
      <w:r>
        <w:rPr>
          <w:rFonts w:hint="eastAsia" w:ascii="仿宋" w:hAnsi="仿宋" w:eastAsia="仿宋" w:cs="仿宋"/>
          <w:color w:val="000000"/>
          <w:sz w:val="32"/>
          <w:szCs w:val="32"/>
          <w:lang w:val="en-US" w:eastAsia="zh-CN"/>
        </w:rPr>
        <w:t>研、以培促效</w:t>
      </w:r>
      <w:r>
        <w:rPr>
          <w:rFonts w:hint="eastAsia" w:ascii="仿宋" w:hAnsi="仿宋" w:eastAsia="仿宋" w:cs="仿宋"/>
          <w:color w:val="000000"/>
          <w:sz w:val="32"/>
          <w:szCs w:val="32"/>
        </w:rPr>
        <w:t>”的原则，以提高教师师德素养和</w:t>
      </w:r>
      <w:r>
        <w:rPr>
          <w:rFonts w:hint="eastAsia" w:ascii="仿宋" w:hAnsi="仿宋" w:eastAsia="仿宋" w:cs="仿宋"/>
          <w:color w:val="000000"/>
          <w:sz w:val="32"/>
          <w:szCs w:val="32"/>
          <w:lang w:val="en-US" w:eastAsia="zh-CN"/>
        </w:rPr>
        <w:t>综合能力素质</w:t>
      </w:r>
      <w:r>
        <w:rPr>
          <w:rFonts w:hint="eastAsia" w:ascii="仿宋" w:hAnsi="仿宋" w:eastAsia="仿宋" w:cs="仿宋"/>
          <w:color w:val="000000"/>
          <w:sz w:val="32"/>
          <w:szCs w:val="32"/>
        </w:rPr>
        <w:t>为核心，切实改进教师的教育教学行为，推动教师成为终身学习者</w:t>
      </w:r>
      <w:r>
        <w:rPr>
          <w:rFonts w:hint="eastAsia" w:ascii="仿宋" w:hAnsi="仿宋" w:eastAsia="仿宋" w:cs="仿宋"/>
          <w:color w:val="000000"/>
          <w:sz w:val="32"/>
          <w:szCs w:val="32"/>
          <w:lang w:eastAsia="zh-CN"/>
        </w:rPr>
        <w:t>。</w:t>
      </w:r>
    </w:p>
    <w:p w14:paraId="78368B2A">
      <w:pPr>
        <w:spacing w:line="560" w:lineRule="atLeast"/>
        <w:ind w:firstLine="643" w:firstLineChars="200"/>
        <w:rPr>
          <w:rFonts w:hint="eastAsia" w:ascii="黑体" w:hAnsi="黑体" w:eastAsia="黑体" w:cs="黑体"/>
          <w:b/>
          <w:bCs/>
          <w:color w:val="000000"/>
          <w:sz w:val="32"/>
          <w:szCs w:val="32"/>
          <w:lang w:eastAsia="zh-CN"/>
        </w:rPr>
      </w:pPr>
      <w:r>
        <w:rPr>
          <w:rFonts w:hint="eastAsia" w:ascii="黑体" w:hAnsi="黑体" w:eastAsia="黑体" w:cs="黑体"/>
          <w:b/>
          <w:bCs/>
          <w:color w:val="000000"/>
          <w:sz w:val="32"/>
          <w:szCs w:val="32"/>
          <w:lang w:eastAsia="zh-CN"/>
        </w:rPr>
        <w:t>二、培训目标</w:t>
      </w:r>
    </w:p>
    <w:p w14:paraId="1887FA37">
      <w:pPr>
        <w:snapToGrid w:val="0"/>
        <w:spacing w:line="560" w:lineRule="atLeas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rPr>
        <w:t xml:space="preserve"> 通过扎实有效的校本培训活动，有效提升教师的教育素养，特别是课堂教学能力，使所有专任教师能按时保质保量完成课堂教学任务，提高教师的专业技术水平</w:t>
      </w:r>
      <w:r>
        <w:rPr>
          <w:rFonts w:hint="eastAsia" w:ascii="仿宋" w:hAnsi="仿宋" w:eastAsia="仿宋" w:cs="仿宋"/>
          <w:sz w:val="32"/>
          <w:szCs w:val="32"/>
          <w:lang w:eastAsia="zh-CN"/>
        </w:rPr>
        <w:t>，全面提高教学成绩。</w:t>
      </w:r>
      <w:r>
        <w:rPr>
          <w:rFonts w:hint="eastAsia" w:ascii="仿宋" w:hAnsi="仿宋" w:eastAsia="仿宋" w:cs="仿宋"/>
          <w:sz w:val="32"/>
          <w:szCs w:val="32"/>
          <w:lang w:val="en-US" w:eastAsia="zh-CN"/>
        </w:rPr>
        <w:t>同时完成每学期36学时的培训任务。</w:t>
      </w:r>
    </w:p>
    <w:p w14:paraId="00D5A8FA">
      <w:pPr>
        <w:pStyle w:val="2"/>
        <w:shd w:val="clear" w:color="auto" w:fill="FFFFFF"/>
        <w:spacing w:before="0" w:beforeAutospacing="0" w:after="0" w:afterAutospacing="0" w:line="560" w:lineRule="atLeast"/>
        <w:ind w:firstLine="643" w:firstLineChars="200"/>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三、培训方式</w:t>
      </w:r>
    </w:p>
    <w:p w14:paraId="1036729A">
      <w:pPr>
        <w:spacing w:line="560" w:lineRule="atLeast"/>
        <w:ind w:firstLine="640" w:firstLineChars="200"/>
        <w:rPr>
          <w:rFonts w:hint="eastAsia" w:ascii="仿宋" w:hAnsi="仿宋" w:eastAsia="仿宋" w:cs="仿宋"/>
          <w:color w:val="000000"/>
          <w:kern w:val="0"/>
          <w:sz w:val="32"/>
          <w:szCs w:val="32"/>
        </w:rPr>
      </w:pPr>
      <w:r>
        <w:rPr>
          <w:rFonts w:hint="eastAsia" w:ascii="仿宋" w:hAnsi="仿宋" w:eastAsia="仿宋" w:cs="仿宋"/>
          <w:sz w:val="32"/>
          <w:szCs w:val="32"/>
          <w:lang w:eastAsia="zh-CN"/>
        </w:rPr>
        <w:t>采取</w:t>
      </w:r>
      <w:r>
        <w:rPr>
          <w:rFonts w:hint="eastAsia" w:ascii="仿宋" w:hAnsi="仿宋" w:eastAsia="仿宋" w:cs="仿宋"/>
          <w:sz w:val="32"/>
          <w:szCs w:val="32"/>
        </w:rPr>
        <w:t>集中</w:t>
      </w:r>
      <w:r>
        <w:rPr>
          <w:rFonts w:hint="eastAsia" w:ascii="仿宋" w:hAnsi="仿宋" w:eastAsia="仿宋" w:cs="仿宋"/>
          <w:sz w:val="32"/>
          <w:szCs w:val="32"/>
          <w:lang w:eastAsia="zh-CN"/>
        </w:rPr>
        <w:t>学习</w:t>
      </w:r>
      <w:r>
        <w:rPr>
          <w:rFonts w:hint="eastAsia" w:ascii="仿宋" w:hAnsi="仿宋" w:eastAsia="仿宋" w:cs="仿宋"/>
          <w:sz w:val="32"/>
          <w:szCs w:val="32"/>
        </w:rPr>
        <w:t>和自主学习相结合</w:t>
      </w:r>
      <w:r>
        <w:rPr>
          <w:rFonts w:hint="eastAsia" w:ascii="仿宋" w:hAnsi="仿宋" w:eastAsia="仿宋" w:cs="仿宋"/>
          <w:sz w:val="32"/>
          <w:szCs w:val="32"/>
          <w:lang w:eastAsia="zh-CN"/>
        </w:rPr>
        <w:t>方式，利用网络平台、</w:t>
      </w:r>
      <w:r>
        <w:rPr>
          <w:rFonts w:hint="eastAsia" w:ascii="仿宋" w:hAnsi="仿宋" w:eastAsia="仿宋" w:cs="仿宋"/>
          <w:sz w:val="32"/>
          <w:szCs w:val="32"/>
        </w:rPr>
        <w:t>教学观摩 、听课评课、反思</w:t>
      </w:r>
      <w:r>
        <w:rPr>
          <w:rFonts w:hint="eastAsia" w:ascii="仿宋" w:hAnsi="仿宋" w:eastAsia="仿宋" w:cs="仿宋"/>
          <w:sz w:val="32"/>
          <w:szCs w:val="32"/>
          <w:lang w:eastAsia="zh-CN"/>
        </w:rPr>
        <w:t>总结</w:t>
      </w:r>
      <w:r>
        <w:rPr>
          <w:rFonts w:hint="eastAsia" w:ascii="仿宋" w:hAnsi="仿宋" w:eastAsia="仿宋" w:cs="仿宋"/>
          <w:sz w:val="32"/>
          <w:szCs w:val="32"/>
        </w:rPr>
        <w:t>等</w:t>
      </w:r>
      <w:r>
        <w:rPr>
          <w:rFonts w:hint="eastAsia" w:ascii="仿宋" w:hAnsi="仿宋" w:eastAsia="仿宋" w:cs="仿宋"/>
          <w:sz w:val="32"/>
          <w:szCs w:val="32"/>
          <w:lang w:eastAsia="zh-CN"/>
        </w:rPr>
        <w:t>多种</w:t>
      </w:r>
      <w:r>
        <w:rPr>
          <w:rFonts w:hint="eastAsia" w:ascii="仿宋" w:hAnsi="仿宋" w:eastAsia="仿宋" w:cs="仿宋"/>
          <w:sz w:val="32"/>
          <w:szCs w:val="32"/>
        </w:rPr>
        <w:t>形式</w:t>
      </w:r>
      <w:r>
        <w:rPr>
          <w:rFonts w:hint="eastAsia" w:ascii="仿宋" w:hAnsi="仿宋" w:eastAsia="仿宋" w:cs="仿宋"/>
          <w:sz w:val="32"/>
          <w:szCs w:val="32"/>
          <w:lang w:eastAsia="zh-CN"/>
        </w:rPr>
        <w:t>全面提升教师的专业素养</w:t>
      </w:r>
      <w:r>
        <w:rPr>
          <w:rFonts w:hint="eastAsia" w:ascii="仿宋" w:hAnsi="仿宋" w:eastAsia="仿宋" w:cs="仿宋"/>
          <w:sz w:val="32"/>
          <w:szCs w:val="32"/>
        </w:rPr>
        <w:t>。</w:t>
      </w:r>
    </w:p>
    <w:p w14:paraId="53BA860B">
      <w:pPr>
        <w:pStyle w:val="2"/>
        <w:shd w:val="clear" w:color="auto" w:fill="FFFFFF"/>
        <w:spacing w:before="0" w:beforeAutospacing="0" w:after="0" w:afterAutospacing="0" w:line="560" w:lineRule="atLeast"/>
        <w:ind w:firstLine="643" w:firstLineChars="200"/>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四、培训时间</w:t>
      </w:r>
    </w:p>
    <w:p w14:paraId="4A59A6DF">
      <w:pPr>
        <w:pStyle w:val="2"/>
        <w:shd w:val="clear" w:color="auto" w:fill="FFFFFF"/>
        <w:spacing w:before="0" w:beforeAutospacing="0" w:after="0" w:afterAutospacing="0" w:line="560" w:lineRule="atLeast"/>
        <w:ind w:firstLine="640" w:firstLineChars="200"/>
        <w:rPr>
          <w:rFonts w:hint="eastAsia" w:ascii="仿宋" w:hAnsi="仿宋" w:eastAsia="仿宋" w:cs="仿宋"/>
          <w:sz w:val="32"/>
          <w:szCs w:val="32"/>
        </w:rPr>
      </w:pPr>
      <w:r>
        <w:rPr>
          <w:rFonts w:hint="eastAsia" w:ascii="仿宋" w:hAnsi="仿宋" w:eastAsia="仿宋" w:cs="仿宋"/>
          <w:b w:val="0"/>
          <w:color w:val="000000"/>
          <w:kern w:val="0"/>
          <w:sz w:val="32"/>
          <w:szCs w:val="32"/>
        </w:rPr>
        <w:t>202</w:t>
      </w:r>
      <w:r>
        <w:rPr>
          <w:rFonts w:hint="eastAsia" w:ascii="仿宋" w:hAnsi="仿宋" w:eastAsia="仿宋" w:cs="仿宋"/>
          <w:b w:val="0"/>
          <w:color w:val="000000"/>
          <w:kern w:val="0"/>
          <w:sz w:val="32"/>
          <w:szCs w:val="32"/>
          <w:lang w:val="en-US" w:eastAsia="zh-CN"/>
        </w:rPr>
        <w:t>4</w:t>
      </w:r>
      <w:r>
        <w:rPr>
          <w:rFonts w:hint="eastAsia" w:ascii="仿宋" w:hAnsi="仿宋" w:eastAsia="仿宋" w:cs="仿宋"/>
          <w:b w:val="0"/>
          <w:color w:val="000000"/>
          <w:kern w:val="0"/>
          <w:sz w:val="32"/>
          <w:szCs w:val="32"/>
        </w:rPr>
        <w:t>年</w:t>
      </w:r>
      <w:r>
        <w:rPr>
          <w:rFonts w:hint="eastAsia" w:ascii="仿宋" w:hAnsi="仿宋" w:eastAsia="仿宋" w:cs="仿宋"/>
          <w:b w:val="0"/>
          <w:color w:val="000000"/>
          <w:kern w:val="0"/>
          <w:sz w:val="32"/>
          <w:szCs w:val="32"/>
          <w:lang w:val="en-US" w:eastAsia="zh-CN"/>
        </w:rPr>
        <w:t>9</w:t>
      </w:r>
      <w:r>
        <w:rPr>
          <w:rFonts w:hint="eastAsia" w:ascii="仿宋" w:hAnsi="仿宋" w:eastAsia="仿宋" w:cs="仿宋"/>
          <w:b w:val="0"/>
          <w:color w:val="000000"/>
          <w:kern w:val="0"/>
          <w:sz w:val="32"/>
          <w:szCs w:val="32"/>
        </w:rPr>
        <w:t>月</w:t>
      </w:r>
      <w:r>
        <w:rPr>
          <w:rFonts w:hint="eastAsia" w:ascii="仿宋" w:hAnsi="仿宋" w:eastAsia="仿宋" w:cs="仿宋"/>
          <w:b w:val="0"/>
          <w:color w:val="000000"/>
          <w:kern w:val="0"/>
          <w:sz w:val="32"/>
          <w:szCs w:val="32"/>
          <w:lang w:val="en-US" w:eastAsia="zh-CN"/>
        </w:rPr>
        <w:t>21</w:t>
      </w:r>
      <w:r>
        <w:rPr>
          <w:rFonts w:hint="eastAsia" w:ascii="仿宋" w:hAnsi="仿宋" w:eastAsia="仿宋" w:cs="仿宋"/>
          <w:b w:val="0"/>
          <w:color w:val="000000"/>
          <w:kern w:val="0"/>
          <w:sz w:val="32"/>
          <w:szCs w:val="32"/>
        </w:rPr>
        <w:t>日-202</w:t>
      </w:r>
      <w:r>
        <w:rPr>
          <w:rFonts w:hint="eastAsia" w:ascii="仿宋" w:hAnsi="仿宋" w:eastAsia="仿宋" w:cs="仿宋"/>
          <w:b w:val="0"/>
          <w:color w:val="000000"/>
          <w:kern w:val="0"/>
          <w:sz w:val="32"/>
          <w:szCs w:val="32"/>
          <w:lang w:val="en-US" w:eastAsia="zh-CN"/>
        </w:rPr>
        <w:t>4</w:t>
      </w:r>
      <w:r>
        <w:rPr>
          <w:rFonts w:hint="eastAsia" w:ascii="仿宋" w:hAnsi="仿宋" w:eastAsia="仿宋" w:cs="仿宋"/>
          <w:b w:val="0"/>
          <w:color w:val="000000"/>
          <w:kern w:val="0"/>
          <w:sz w:val="32"/>
          <w:szCs w:val="32"/>
        </w:rPr>
        <w:t>年12月2</w:t>
      </w:r>
      <w:r>
        <w:rPr>
          <w:rFonts w:hint="eastAsia" w:ascii="仿宋" w:hAnsi="仿宋" w:eastAsia="仿宋" w:cs="仿宋"/>
          <w:b w:val="0"/>
          <w:color w:val="000000"/>
          <w:kern w:val="0"/>
          <w:sz w:val="32"/>
          <w:szCs w:val="32"/>
          <w:lang w:val="en-US" w:eastAsia="zh-CN"/>
        </w:rPr>
        <w:t>1</w:t>
      </w:r>
      <w:r>
        <w:rPr>
          <w:rFonts w:hint="eastAsia" w:ascii="仿宋" w:hAnsi="仿宋" w:eastAsia="仿宋" w:cs="仿宋"/>
          <w:b w:val="0"/>
          <w:color w:val="000000"/>
          <w:kern w:val="0"/>
          <w:sz w:val="32"/>
          <w:szCs w:val="32"/>
        </w:rPr>
        <w:t>日</w:t>
      </w:r>
    </w:p>
    <w:p w14:paraId="50A7E5DE">
      <w:pPr>
        <w:keepNext w:val="0"/>
        <w:keepLines w:val="0"/>
        <w:pageBreakBefore w:val="0"/>
        <w:widowControl w:val="0"/>
        <w:kinsoku/>
        <w:wordWrap/>
        <w:overflowPunct/>
        <w:topLinePunct w:val="0"/>
        <w:autoSpaceDE/>
        <w:autoSpaceDN/>
        <w:bidi w:val="0"/>
        <w:adjustRightInd/>
        <w:snapToGrid/>
        <w:spacing w:line="540" w:lineRule="exact"/>
        <w:ind w:leftChars="0" w:firstLine="643" w:firstLineChars="200"/>
        <w:textAlignment w:val="auto"/>
        <w:rPr>
          <w:rFonts w:hint="eastAsia" w:ascii="仿宋" w:hAnsi="仿宋" w:eastAsia="仿宋" w:cs="仿宋"/>
          <w:b/>
          <w:bCs/>
          <w:color w:val="000000"/>
          <w:sz w:val="32"/>
          <w:szCs w:val="32"/>
          <w:lang w:val="en-US" w:eastAsia="zh-CN"/>
        </w:rPr>
      </w:pPr>
      <w:r>
        <w:rPr>
          <w:rFonts w:hint="eastAsia" w:ascii="黑体" w:hAnsi="黑体" w:eastAsia="黑体" w:cs="黑体"/>
          <w:b/>
          <w:bCs/>
          <w:color w:val="000000"/>
          <w:sz w:val="32"/>
          <w:szCs w:val="32"/>
          <w:lang w:val="en-US" w:eastAsia="zh-CN"/>
        </w:rPr>
        <w:t>五、培训对象</w:t>
      </w:r>
    </w:p>
    <w:p w14:paraId="03B81AD6">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40" w:firstLineChars="200"/>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全体教师。</w:t>
      </w:r>
    </w:p>
    <w:p w14:paraId="0227D30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43" w:firstLineChars="200"/>
        <w:textAlignment w:val="auto"/>
        <w:rPr>
          <w:rFonts w:hint="eastAsia" w:ascii="黑体" w:hAnsi="黑体" w:eastAsia="黑体" w:cs="黑体"/>
          <w:b/>
          <w:bCs/>
          <w:color w:val="000000"/>
          <w:kern w:val="0"/>
          <w:sz w:val="32"/>
          <w:szCs w:val="32"/>
          <w:lang w:val="en-US" w:eastAsia="zh-CN"/>
        </w:rPr>
      </w:pPr>
      <w:r>
        <w:rPr>
          <w:rFonts w:hint="eastAsia" w:ascii="黑体" w:hAnsi="黑体" w:eastAsia="黑体" w:cs="黑体"/>
          <w:b/>
          <w:bCs/>
          <w:color w:val="000000"/>
          <w:kern w:val="0"/>
          <w:sz w:val="32"/>
          <w:szCs w:val="32"/>
          <w:lang w:val="en-US" w:eastAsia="zh-CN"/>
        </w:rPr>
        <w:t>六、培训内容</w:t>
      </w:r>
    </w:p>
    <w:p w14:paraId="2DE4F7EB">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按照进修学校统一安排的培训主题，由学校业务部门领导进行针对性培训，做到不走过场，力争取得实效。</w:t>
      </w:r>
    </w:p>
    <w:p w14:paraId="4BE328EB">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九月份主题：提升校园长</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引领教师成长</w:t>
      </w:r>
      <w:r>
        <w:rPr>
          <w:rFonts w:hint="eastAsia" w:ascii="仿宋" w:hAnsi="仿宋" w:eastAsia="仿宋" w:cs="仿宋"/>
          <w:sz w:val="30"/>
          <w:szCs w:val="30"/>
          <w:lang w:eastAsia="zh-CN"/>
        </w:rPr>
        <w:t>”</w:t>
      </w:r>
      <w:r>
        <w:rPr>
          <w:rFonts w:hint="eastAsia" w:ascii="仿宋" w:hAnsi="仿宋" w:eastAsia="仿宋" w:cs="仿宋"/>
          <w:b w:val="0"/>
          <w:bCs w:val="0"/>
          <w:color w:val="000000"/>
          <w:kern w:val="0"/>
          <w:sz w:val="30"/>
          <w:szCs w:val="30"/>
          <w:lang w:val="en-US" w:eastAsia="zh-CN"/>
        </w:rPr>
        <w:t>领导力；</w:t>
      </w:r>
    </w:p>
    <w:p w14:paraId="649D1D65">
      <w:pPr>
        <w:keepNext w:val="0"/>
        <w:keepLines w:val="0"/>
        <w:pageBreakBefore w:val="0"/>
        <w:widowControl w:val="0"/>
        <w:kinsoku/>
        <w:wordWrap/>
        <w:overflowPunct/>
        <w:topLinePunct w:val="0"/>
        <w:autoSpaceDE/>
        <w:autoSpaceDN/>
        <w:bidi w:val="0"/>
        <w:adjustRightInd/>
        <w:snapToGrid/>
        <w:spacing w:line="540" w:lineRule="exact"/>
        <w:ind w:righ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十月份主题：提升</w:t>
      </w:r>
      <w:r>
        <w:rPr>
          <w:rFonts w:hint="eastAsia" w:ascii="仿宋" w:hAnsi="仿宋" w:eastAsia="仿宋" w:cs="仿宋"/>
          <w:b w:val="0"/>
          <w:bCs w:val="0"/>
          <w:color w:val="000000"/>
          <w:kern w:val="0"/>
          <w:sz w:val="30"/>
          <w:szCs w:val="30"/>
          <w:lang w:val="en-US" w:eastAsia="zh-CN" w:bidi="ar-SA"/>
        </w:rPr>
        <w:t>学科教师的现场说课和课件制作能力；</w:t>
      </w:r>
    </w:p>
    <w:p w14:paraId="5A9925B8">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十一月份主题：提升领导及教师信技融合应用能力；</w:t>
      </w:r>
    </w:p>
    <w:p w14:paraId="6DD470BF">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b w:val="0"/>
          <w:bCs w:val="0"/>
          <w:color w:val="000000"/>
          <w:kern w:val="0"/>
          <w:sz w:val="30"/>
          <w:szCs w:val="30"/>
          <w:lang w:val="en-US" w:eastAsia="zh-CN"/>
        </w:rPr>
        <w:t>十二月份主题：提升班主任带班能力；提升心理健康教师对学生的心理辅导能力</w:t>
      </w:r>
    </w:p>
    <w:p w14:paraId="7E9C77F4">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黑体" w:hAnsi="黑体" w:eastAsia="黑体" w:cs="黑体"/>
          <w:b/>
          <w:bCs/>
          <w:color w:val="000000"/>
          <w:kern w:val="0"/>
          <w:sz w:val="32"/>
          <w:szCs w:val="32"/>
          <w:lang w:val="en-US" w:eastAsia="zh-CN"/>
        </w:rPr>
      </w:pPr>
      <w:r>
        <w:rPr>
          <w:rFonts w:hint="eastAsia" w:ascii="黑体" w:hAnsi="黑体" w:eastAsia="黑体" w:cs="黑体"/>
          <w:b/>
          <w:bCs/>
          <w:color w:val="000000"/>
          <w:kern w:val="0"/>
          <w:sz w:val="32"/>
          <w:szCs w:val="32"/>
          <w:lang w:val="en-US" w:eastAsia="zh-CN"/>
        </w:rPr>
        <w:t>七、培训要求</w:t>
      </w:r>
    </w:p>
    <w:p w14:paraId="68EB91CC">
      <w:pPr>
        <w:pStyle w:val="3"/>
        <w:keepNext w:val="0"/>
        <w:keepLines w:val="0"/>
        <w:pageBreakBefore w:val="0"/>
        <w:widowControl w:val="0"/>
        <w:numPr>
          <w:ilvl w:val="0"/>
          <w:numId w:val="1"/>
        </w:numPr>
        <w:kinsoku/>
        <w:wordWrap/>
        <w:overflowPunct/>
        <w:topLinePunct w:val="0"/>
        <w:autoSpaceDE/>
        <w:autoSpaceDN/>
        <w:bidi w:val="0"/>
        <w:adjustRightInd/>
        <w:snapToGrid/>
        <w:spacing w:line="540" w:lineRule="exact"/>
        <w:ind w:left="900" w:leftChars="0" w:firstLine="0" w:firstLineChars="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严格要求全员培训，培训考核结果纳入学校工作考核。</w:t>
      </w:r>
    </w:p>
    <w:p w14:paraId="489B05E5">
      <w:pPr>
        <w:pStyle w:val="3"/>
        <w:keepNext w:val="0"/>
        <w:keepLines w:val="0"/>
        <w:pageBreakBefore w:val="0"/>
        <w:widowControl w:val="0"/>
        <w:numPr>
          <w:ilvl w:val="0"/>
          <w:numId w:val="1"/>
        </w:numPr>
        <w:kinsoku/>
        <w:wordWrap/>
        <w:overflowPunct/>
        <w:topLinePunct w:val="0"/>
        <w:autoSpaceDE/>
        <w:autoSpaceDN/>
        <w:bidi w:val="0"/>
        <w:adjustRightInd/>
        <w:snapToGrid/>
        <w:spacing w:line="540" w:lineRule="exact"/>
        <w:ind w:left="900" w:leftChars="0" w:firstLine="0" w:firstLineChars="0"/>
        <w:textAlignment w:val="auto"/>
        <w:rPr>
          <w:rFonts w:hint="default"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认真组织，不搞形式，不走过场，扎扎实实，取得实效。</w:t>
      </w:r>
    </w:p>
    <w:p w14:paraId="1D6D8EF5">
      <w:pPr>
        <w:spacing w:line="560" w:lineRule="atLeast"/>
        <w:ind w:firstLine="643" w:firstLineChars="200"/>
        <w:rPr>
          <w:rFonts w:hint="eastAsia" w:ascii="黑体" w:hAnsi="黑体" w:eastAsia="黑体" w:cs="黑体"/>
          <w:b/>
          <w:bCs/>
          <w:sz w:val="32"/>
          <w:szCs w:val="32"/>
        </w:rPr>
      </w:pPr>
      <w:r>
        <w:rPr>
          <w:rFonts w:hint="eastAsia" w:ascii="黑体" w:hAnsi="黑体" w:eastAsia="黑体" w:cs="黑体"/>
          <w:b/>
          <w:bCs/>
          <w:sz w:val="32"/>
          <w:szCs w:val="32"/>
          <w:lang w:eastAsia="zh-CN"/>
        </w:rPr>
        <w:t>八</w:t>
      </w:r>
      <w:r>
        <w:rPr>
          <w:rFonts w:hint="eastAsia" w:ascii="黑体" w:hAnsi="黑体" w:eastAsia="黑体" w:cs="黑体"/>
          <w:b/>
          <w:bCs/>
          <w:sz w:val="32"/>
          <w:szCs w:val="32"/>
        </w:rPr>
        <w:t>、领导组织</w:t>
      </w:r>
    </w:p>
    <w:p w14:paraId="57B71CEB">
      <w:pPr>
        <w:spacing w:line="560" w:lineRule="atLeas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组</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 长： </w:t>
      </w:r>
      <w:r>
        <w:rPr>
          <w:rFonts w:hint="eastAsia" w:ascii="仿宋" w:hAnsi="仿宋" w:eastAsia="仿宋" w:cs="仿宋"/>
          <w:sz w:val="32"/>
          <w:szCs w:val="32"/>
          <w:lang w:eastAsia="zh-CN"/>
        </w:rPr>
        <w:t>蒋传友</w:t>
      </w:r>
    </w:p>
    <w:p w14:paraId="5FCFF7BC">
      <w:pPr>
        <w:spacing w:line="560" w:lineRule="atLeas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副组长：</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杨国民</w:t>
      </w:r>
      <w:r>
        <w:rPr>
          <w:rFonts w:hint="eastAsia" w:ascii="仿宋" w:hAnsi="仿宋" w:eastAsia="仿宋" w:cs="仿宋"/>
          <w:sz w:val="32"/>
          <w:szCs w:val="32"/>
          <w:lang w:val="en-US" w:eastAsia="zh-CN"/>
        </w:rPr>
        <w:t xml:space="preserve">  罗春雨</w:t>
      </w:r>
    </w:p>
    <w:p w14:paraId="6B2AC3AD">
      <w:pPr>
        <w:spacing w:line="560" w:lineRule="atLeas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eastAsia="zh-CN"/>
        </w:rPr>
        <w:t>组</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员</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邢学影 薄春垒  赵欣欣 王冬杰  贾树民 孙洪林</w:t>
      </w:r>
      <w:bookmarkStart w:id="0" w:name="_GoBack"/>
      <w:bookmarkEnd w:id="0"/>
      <w:r>
        <w:rPr>
          <w:rFonts w:hint="eastAsia" w:ascii="仿宋" w:hAnsi="仿宋" w:eastAsia="仿宋" w:cs="仿宋"/>
          <w:sz w:val="32"/>
          <w:szCs w:val="32"/>
          <w:lang w:val="en-US" w:eastAsia="zh-CN"/>
        </w:rPr>
        <w:t xml:space="preserve"> </w:t>
      </w:r>
    </w:p>
    <w:p w14:paraId="5A107C1E">
      <w:pPr>
        <w:keepNext w:val="0"/>
        <w:keepLines w:val="0"/>
        <w:pageBreakBefore w:val="0"/>
        <w:widowControl/>
        <w:suppressLineNumbers w:val="0"/>
        <w:kinsoku/>
        <w:wordWrap/>
        <w:overflowPunct/>
        <w:topLinePunct w:val="0"/>
        <w:autoSpaceDE/>
        <w:autoSpaceDN/>
        <w:bidi w:val="0"/>
        <w:adjustRightInd/>
        <w:snapToGrid/>
        <w:spacing w:line="540" w:lineRule="exact"/>
        <w:ind w:firstLine="6400" w:firstLineChars="2000"/>
        <w:jc w:val="left"/>
        <w:textAlignment w:val="auto"/>
        <w:rPr>
          <w:rFonts w:hint="default" w:ascii="仿宋" w:hAnsi="仿宋" w:eastAsia="仿宋" w:cs="仿宋"/>
          <w:b w:val="0"/>
          <w:bCs w:val="0"/>
          <w:sz w:val="32"/>
          <w:szCs w:val="32"/>
          <w:lang w:val="en-US" w:eastAsia="zh-CN"/>
        </w:rPr>
      </w:pPr>
    </w:p>
    <w:sectPr>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1812E6"/>
    <w:multiLevelType w:val="singleLevel"/>
    <w:tmpl w:val="961812E6"/>
    <w:lvl w:ilvl="0" w:tentative="0">
      <w:start w:val="1"/>
      <w:numFmt w:val="decimal"/>
      <w:lvlText w:val="%1."/>
      <w:lvlJc w:val="left"/>
      <w:pPr>
        <w:tabs>
          <w:tab w:val="left" w:pos="312"/>
        </w:tabs>
        <w:ind w:left="900" w:leftChars="0" w:firstLine="0" w:firstLineChars="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VmMTlmNjNhNTAzZGI2M2ZmOWFlMzVjM2M3NGE4MjUifQ=="/>
  </w:docVars>
  <w:rsids>
    <w:rsidRoot w:val="05753DF1"/>
    <w:rsid w:val="049802FF"/>
    <w:rsid w:val="05753DF1"/>
    <w:rsid w:val="08C43471"/>
    <w:rsid w:val="09AA4F4F"/>
    <w:rsid w:val="09E976B2"/>
    <w:rsid w:val="0D9226DF"/>
    <w:rsid w:val="0EF64ECE"/>
    <w:rsid w:val="0FE574A7"/>
    <w:rsid w:val="2062322E"/>
    <w:rsid w:val="26DC0C10"/>
    <w:rsid w:val="2CFC2882"/>
    <w:rsid w:val="2E1D349F"/>
    <w:rsid w:val="32CB171C"/>
    <w:rsid w:val="36700C56"/>
    <w:rsid w:val="3AFA23F5"/>
    <w:rsid w:val="3B914B85"/>
    <w:rsid w:val="40D66A02"/>
    <w:rsid w:val="43401A66"/>
    <w:rsid w:val="4C702C52"/>
    <w:rsid w:val="50B00503"/>
    <w:rsid w:val="59251673"/>
    <w:rsid w:val="5B460177"/>
    <w:rsid w:val="5C2B6836"/>
    <w:rsid w:val="69325E7B"/>
    <w:rsid w:val="6EE42C42"/>
    <w:rsid w:val="71274FBC"/>
    <w:rsid w:val="755D2C86"/>
    <w:rsid w:val="76855E68"/>
    <w:rsid w:val="7827208C"/>
    <w:rsid w:val="799E680F"/>
    <w:rsid w:val="7A285B23"/>
    <w:rsid w:val="7BF744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widowControl/>
      <w:spacing w:before="100" w:beforeAutospacing="1" w:after="100" w:afterAutospacing="1" w:line="240" w:lineRule="auto"/>
      <w:jc w:val="left"/>
      <w:outlineLvl w:val="0"/>
    </w:pPr>
    <w:rPr>
      <w:rFonts w:ascii="宋体" w:hAnsi="宋体" w:eastAsia="宋体" w:cs="宋体"/>
      <w:b/>
      <w:bCs/>
      <w:kern w:val="36"/>
      <w:sz w:val="48"/>
      <w:szCs w:val="48"/>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8">
    <w:name w:val="page number"/>
    <w:basedOn w:val="7"/>
    <w:qFormat/>
    <w:uiPriority w:val="0"/>
  </w:style>
  <w:style w:type="paragraph" w:customStyle="1" w:styleId="9">
    <w:name w:val="文件正文"/>
    <w:basedOn w:val="1"/>
    <w:qFormat/>
    <w:uiPriority w:val="0"/>
    <w:rPr>
      <w:rFonts w:ascii="仿宋_GB2312" w:hAnsi="Calibri" w:eastAsia="仿宋_GB2312"/>
      <w:sz w:val="32"/>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750</Words>
  <Characters>772</Characters>
  <Lines>0</Lines>
  <Paragraphs>0</Paragraphs>
  <TotalTime>8</TotalTime>
  <ScaleCrop>false</ScaleCrop>
  <LinksUpToDate>false</LinksUpToDate>
  <CharactersWithSpaces>796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2023-09-14T07:14:00Z</dcterms:created>
  <dc:creator>馨然</dc:creator>
  <cp:lastModifiedBy>烟火迷离</cp:lastModifiedBy>
  <cp:lastPrinted>2023-09-18T03:18:00Z</cp:lastPrinted>
  <dcterms:modified xsi:type="dcterms:W3CDTF">2024-09-20T06:16:18Z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17E6897DF4494B2592F68F3964F2080A_13</vt:lpwstr>
  </property>
</Properties>
</file>