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14="http://schemas.microsoft.com/office/word/2010/wordprocessingDrawing" xmlns:v="urn:schemas-microsoft-com:vml" xmlns:w14="http://schemas.microsoft.com/office/word/2010/wordml" xmlns:wpi="http://schemas.microsoft.com/office/word/2010/wordprocessingInk" xmlns:w10="urn:schemas-microsoft-com:office:word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p>
      <w:pPr>
        <w:jc w:val="center"/>
        <w:rPr>
          <w:b w:val="1"/>
          <w:color w:val="000000" w:themeColor="text1"/>
          <w:sz w:val="44"/>
          <w:bCs/>
          <w:szCs w:val="44"/>
          <w:shd w:val="clear" w:color="FFFFFF" w:fill="auto"/>
          <w:rFonts w:ascii="黑体" w:hAnsi="黑体" w:eastAsia="黑体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:shd w:val="clear" w:color="FFFFFF" w:fill="auto"/>
          <w:rFonts w:ascii="黑体" w:hAnsi="黑体" w:eastAsia="黑体" w:hint="eastAsia"/>
        </w:rPr>
        <w:t>星火二中</w:t>
      </w:r>
      <w:r>
        <w:rPr>
          <w:b w:val="1"/>
          <w:u w:val="single"/>
          <w:color w:val="000000" w:themeColor="text1"/>
          <w:sz w:val="44"/>
          <w:lang w:val="en-US" w:eastAsia="zh-CN"/>
          <w:bCs/>
          <w:szCs w:val="44"/>
          <w:shd w:val="clear" w:color="FFFFFF" w:fill="auto"/>
          <w:rFonts w:ascii="黑体" w:hAnsi="黑体" w:eastAsia="黑体" w:hint="eastAsia"/>
        </w:rPr>
        <w:t>道德与法治</w:t>
      </w:r>
      <w:r>
        <w:rPr>
          <w:b w:val="1"/>
          <w:color w:val="000000" w:themeColor="text1"/>
          <w:sz w:val="44"/>
          <w:bCs/>
          <w:szCs w:val="44"/>
          <w:shd w:val="clear" w:color="FFFFFF" w:fill="auto"/>
          <w:rFonts w:ascii="黑体" w:hAnsi="黑体" w:eastAsia="黑体" w:hint="eastAsia"/>
        </w:rPr>
        <w:t>学科教学进度表</w:t>
      </w:r>
    </w:p>
    <w:p>
      <w:pPr>
        <w:jc w:val="center"/>
        <w:rPr>
          <w:b w:val="1"/>
          <w:color w:val="000000" w:themeColor="text1"/>
          <w:sz w:val="32"/>
          <w:bCs/>
          <w:szCs w:val="32"/>
          <w:shd w:val="clear" w:color="FFFFFF" w:fill="D9D9D9"/>
          <w:rFonts w:ascii="楷体" w:hAnsi="楷体" w:eastAsia="楷体"/>
        </w:rPr>
      </w:pPr>
      <w:r>
        <w:rPr>
          <w:b w:val="1"/>
          <w:color w:val="000000" w:themeColor="text1"/>
          <w:sz w:val="32"/>
          <w:bCs/>
          <w:szCs w:val="32"/>
          <w:shd w:val="clear" w:color="FFFFFF" w:fill="auto"/>
          <w:rFonts w:ascii="楷体" w:hAnsi="楷体" w:eastAsia="楷体" w:hint="eastAsia"/>
        </w:rPr>
        <w:t>（2024</w:t>
      </w:r>
      <w:r>
        <w:rPr>
          <w:b w:val="1"/>
          <w:color w:val="000000" w:themeColor="text1"/>
          <w:sz w:val="32"/>
          <w:bCs/>
          <w:szCs w:val="32"/>
          <w:shd w:val="clear" w:color="FFFFFF" w:fill="auto"/>
          <w:rFonts w:ascii="楷体" w:hAnsi="楷体" w:eastAsia="楷体"/>
        </w:rPr>
        <w:t>—</w:t>
      </w:r>
      <w:r>
        <w:rPr>
          <w:b w:val="1"/>
          <w:color w:val="000000" w:themeColor="text1"/>
          <w:sz w:val="32"/>
          <w:bCs/>
          <w:szCs w:val="32"/>
          <w:shd w:val="clear" w:color="FFFFFF" w:fill="auto"/>
          <w:rFonts w:ascii="楷体" w:hAnsi="楷体" w:eastAsia="楷体" w:hint="eastAsia"/>
        </w:rPr>
        <w:t>2025学年度第一学期）</w:t>
      </w:r>
    </w:p>
    <w:p>
      <w:pPr>
        <w:rPr>
          <w:u w:val="single"/>
        </w:rPr>
      </w:pPr>
      <w:r>
        <w:rPr>
          <w:sz w:val="24"/>
          <w:rFonts w:hint="eastAsia"/>
        </w:rPr>
        <w:t>年级：</w:t>
      </w:r>
      <w:r>
        <w:rPr>
          <w:u w:val="single"/>
          <w:sz w:val="24"/>
          <w:rFonts w:hint="eastAsia"/>
        </w:rPr>
        <w:t xml:space="preserve">  </w:t>
      </w:r>
      <w:r>
        <w:rPr>
          <w:u w:val="single"/>
          <w:sz w:val="24"/>
          <w:lang w:val="en-US" w:eastAsia="zh-CN"/>
          <w:rFonts w:hint="eastAsia"/>
        </w:rPr>
        <w:t>五年级</w:t>
      </w:r>
      <w:r>
        <w:rPr>
          <w:u w:val="single"/>
          <w:sz w:val="24"/>
          <w:rFonts w:hint="eastAsia"/>
        </w:rPr>
        <w:t xml:space="preserve">    </w:t>
      </w:r>
      <w:r>
        <w:rPr>
          <w:sz w:val="24"/>
          <w:rFonts w:hint="eastAsia"/>
        </w:rPr>
        <w:t xml:space="preserve">      学科：</w:t>
      </w:r>
      <w:r>
        <w:rPr>
          <w:u w:val="single"/>
          <w:sz w:val="24"/>
          <w:rFonts w:hint="eastAsia"/>
        </w:rPr>
        <w:t xml:space="preserve">   道德与法治  </w:t>
      </w:r>
      <w:r>
        <w:rPr>
          <w:sz w:val="24"/>
          <w:rFonts w:hint="eastAsia"/>
        </w:rPr>
        <w:t xml:space="preserve">                    姓名：</w:t>
      </w:r>
      <w:r>
        <w:rPr>
          <w:u w:val="single"/>
          <w:rFonts w:hint="eastAsia"/>
        </w:rPr>
        <w:t xml:space="preserve"> </w:t>
      </w:r>
      <w:r>
        <w:rPr>
          <w:u w:val="single"/>
          <w:lang w:val="en-US" w:eastAsia="zh-CN"/>
          <w:rFonts w:hint="eastAsia"/>
        </w:rPr>
        <w:t>周艳萍</w:t>
      </w:r>
      <w:r>
        <w:rPr>
          <w:u w:val="single"/>
          <w:rFonts w:hint="eastAsia"/>
        </w:rPr>
        <w:t xml:space="preserve">       </w:t>
      </w:r>
    </w:p>
    <w:p>
      <w:pPr>
        <w:rPr>
          <w:sz w:val="24"/>
        </w:rPr>
      </w:pPr>
    </w:p>
    <w:tbl>
      <w:tblPr>
        <w:tblStyle w:val="5"/>
        <w:tblW w:w="9367" w:type="dxa"/>
        <w:tblInd w:type="dxa" w:w="0.000000"/>
        <w:tblLayout w:type="fixed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930.000000"/>
        <w:gridCol w:w="1504.000000"/>
        <w:gridCol w:w="5973.000000"/>
        <w:gridCol w:w="960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</w:t>
            </w:r>
          </w:p>
        </w:tc>
        <w:tc>
          <w:tcPr>
            <w:tcW w:w="1504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9.02-9.06</w:t>
            </w:r>
          </w:p>
        </w:tc>
        <w:tc>
          <w:tcPr>
            <w:tcW w:w="5973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1、自主选择课余生活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课余生活我选择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课余生活助我成长</w:t>
            </w:r>
          </w:p>
        </w:tc>
        <w:tc>
          <w:tcPr>
            <w:tcW w:w="960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9.9--9.114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过好我们的课余生活</w:t>
            </w:r>
          </w:p>
          <w:p>
            <w:pPr>
              <w:jc w:val="center"/>
              <w:numPr>
                <w:ilvl w:val="0"/>
                <w:numId w:val="1"/>
              </w:numPr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学会沟通交流</w:t>
            </w:r>
          </w:p>
          <w:p>
            <w:pPr>
              <w:jc w:val="center"/>
              <w:numPr>
                <w:ilvl w:val="0"/>
                <w:numId w:val="0"/>
              </w:numPr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正确对待不同看法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9.18-9.220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真诚坦率很重要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与人沟通讲方法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9.23--9.27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3、主动拒绝烟酒与毒品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烟酒的危害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毒品更危险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10.08-10.12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拒绝危害有办法</w:t>
            </w:r>
          </w:p>
          <w:p>
            <w:pPr>
              <w:jc w:val="center"/>
              <w:numPr>
                <w:ilvl w:val="0"/>
                <w:numId w:val="1"/>
              </w:numPr>
              <w:ind w:firstLine="0" w:firstLineChars="0" w:left="0" w:leftChars="0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选举产生班委会</w:t>
            </w:r>
          </w:p>
          <w:p>
            <w:pPr>
              <w:jc w:val="center"/>
              <w:numPr>
                <w:ilvl w:val="0"/>
                <w:numId w:val="1"/>
              </w:numPr>
              <w:ind w:firstLine="0" w:firstLineChars="0" w:left="0" w:leftChars="0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班委会的职责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班委选举有程序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班级建设人人有责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10.21--10.25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期中考试复习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10.28-11.01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11.4--11.8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5、协商决定班级事务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决定班级事务有原则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共同的决定要落实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11.11--11.15</w:t>
            </w:r>
          </w:p>
        </w:tc>
        <w:tc>
          <w:tcPr>
            <w:tcW w:w="6933" w:type="dxa"/>
            <w:gridSpan w:val="2"/>
            <w:vAlign w:val="center"/>
          </w:tcPr>
          <w:p>
            <w:pPr>
              <w:jc w:val="both"/>
              <w:ind w:firstLine="1920" w:firstLineChars="800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6、我们神圣的国土</w:t>
            </w:r>
          </w:p>
          <w:p>
            <w:pPr>
              <w:jc w:val="both"/>
              <w:ind w:firstLine="2640" w:firstLineChars="1100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辽阔的国土</w:t>
            </w:r>
          </w:p>
          <w:p>
            <w:pPr>
              <w:jc w:val="both"/>
              <w:numPr>
                <w:ilvl w:val="0"/>
                <w:numId w:val="0"/>
              </w:numPr>
              <w:ind w:firstLine="2400" w:firstLineChars="1000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好山好水好风光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11.18--11.22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一方水土一方生活</w:t>
            </w:r>
          </w:p>
          <w:p>
            <w:pPr>
              <w:jc w:val="center"/>
              <w:numPr>
                <w:ilvl w:val="0"/>
                <w:numId w:val="2"/>
              </w:numPr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中华民族一家亲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  <w:lang w:val="en-US" w:eastAsia="zh-CN"/>
                <w:rFonts w:hint="eastAsia"/>
              </w:rPr>
              <w:t>中华民族大家庭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11.25---12.29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各民族谁也离不开谁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互相尊重 守望相护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12.2--12.06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8、美丽文字  民族瑰宝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丰富多样的文字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古老而优美的汉字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12.9--12.13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意蕴隽永的汉字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影响深远的汉字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9、古代科技 耀我中华</w:t>
            </w:r>
          </w:p>
          <w:p>
            <w:pPr>
              <w:ind w:firstLine="1200" w:firstLineChars="500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灿如繁星的古代科学巨人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12.16--12.220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独具特色的古代科学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独领风骚的古代技术创造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改变世界的四大文明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12.23--12.27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10、传统美德  源远流长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自强不息的人格修养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立己达人的仁爱精神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天下兴亡、匹夫有责的爱国情怀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12.30---1.03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 w:eastAsiaTheme="minorEastAsia"/>
              </w:rPr>
            </w:pPr>
            <w:bookmarkStart w:id="0" w:name="_GoBack"/>
            <w:bookmarkEnd w:id="0"/>
            <w:r>
              <w:rPr>
                <w:sz w:val="24"/>
                <w:lang w:val="en-US" w:eastAsia="zh-CN"/>
                <w:rFonts w:hint="eastAsia"/>
              </w:rPr>
              <w:t>总复习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1.06--1.10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14"/>
          <w:rFonts w:ascii="仿宋" w:hAnsi="仿宋" w:eastAsia="仿宋" w:cs="仿宋"/>
        </w:rPr>
      </w:pPr>
    </w:p>
    <w:sectPr>
      <w:docGrid w:type="lines" w:linePitch="312" w:charSpace="0"/>
      <w:pgSz w:w="11906" w:h="16838"/>
      <w:pgMar w:top="737" w:right="851" w:bottom="737" w:left="1701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14="http://schemas.microsoft.com/office/word/2010/wordprocessingDrawing" xmlns:v="urn:schemas-microsoft-com:v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g="http://schemas.microsoft.com/office/word/2010/wordprocessingGroup" xmlns:m="http://schemas.openxmlformats.org/officeDocument/2006/math" xmlns:wne="http://schemas.microsoft.com/office/word/2006/wordml" xmlns:r="http://schemas.openxmlformats.org/officeDocument/2006/relationships" xmlns:wps="http://schemas.microsoft.com/office/word/2010/wordprocessingShape" mc:Ignorable="w14 wp14">
  <w:abstractNum w:abstractNumId="0">
    <w:nsid w:val="00A8AF11"/>
    <w:multiLevelType w:val="singleLevel"/>
    <w:tmpl w:val="00A8AF11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A0C495A"/>
    <w:multiLevelType w:val="singleLevel"/>
    <w:tmpl w:val="6A0C495A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w="http://schemas.openxmlformats.org/wordprocessingml/2006/main" xmlns:m="http://schemas.openxmlformats.org/officeDocument/2006/math" xmlns:sl="http://schemas.openxmlformats.org/schemaLibrary/2006/main" xmlns:v="urn:schemas-microsoft-com:vml" xmlns:w10="urn:schemas-microsoft-com:office:word" xmlns:r="http://schemas.openxmlformats.org/officeDocument/2006/relationships" xmlns:w14="http://schemas.microsoft.com/office/word/2010/wordml" mc:Ignorable="w14">
  <w:bordersDoNotSurroundHeader/>
  <w:bordersDoNotSurroundFooter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2" w:uri="http://schemas.microsoft.com/office/word" w:name="compatibilityMode"/>
  </w:compat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48B7CB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val="Cambria Math"/>
    <m:brkBin val="before"/>
    <m:brkBinSub val="--"/>
    <m:smallFrac val="1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mc="http://schemas.openxmlformats.org/markup-compatibility/2006" xmlns:o="urn:schemas-microsoft-com:office:office" xmlns:w="http://schemas.openxmlformats.org/wordprocessingml/2006/main" xmlns:m="http://schemas.openxmlformats.org/officeDocument/2006/math" xmlns:v="urn:schemas-microsoft-com:vml" xmlns:sl="http://schemas.openxmlformats.org/schemaLibrary/2006/main" xmlns:r="http://schemas.openxmlformats.org/officeDocument/2006/relationships" xmlns:w14="http://schemas.microsoft.com/office/word/2010/wordml" xmlns:w10="urn:schemas-microsoft-com:office:word" mc:Ignorable="w14">
  <w:docDefaults>
    <w:rPrDefault>
      <w:rPr>
        <w:rFonts w:ascii="Calibri" w:hAnsi="Calibri" w:eastAsia="宋体" w:cs="Times New Roman"/>
      </w:rPr>
    </w:rPrDefault>
  </w:docDefaults>
  <w:latentStyles w:defLockedState="0" w:defSemiHidden="1" w:defUnhideWhenUsed="1" w:defQFormat="0" w:defUIPriority="99" w:count="260">
    <w:lsdException w:name="Balloon Text" w:semiHidden="0" w:unhideWhenUsed="0"/>
    <w:lsdException w:name="Block Text" w:semiHidden="0" w:unhideWhenUsed="0"/>
    <w:lsdException w:name="Body Text" w:semiHidden="0" w:unhideWhenUsed="0"/>
    <w:lsdException w:name="Body Text 2" w:semiHidden="0" w:unhideWhenUsed="0"/>
    <w:lsdException w:name="Body Text 3" w:semiHidden="0" w:unhideWhenUsed="0"/>
    <w:lsdException w:name="Body Text First Indent" w:semiHidden="0" w:unhideWhenUsed="0"/>
    <w:lsdException w:name="Body Text First Indent 2" w:semiHidden="0" w:unhideWhenUsed="0"/>
    <w:lsdException w:name="Body Text Indent" w:semiHidden="0" w:unhideWhenUsed="0"/>
    <w:lsdException w:name="Body Text Indent 2" w:semiHidden="0" w:unhideWhenUsed="0"/>
    <w:lsdException w:name="Body Text Indent 3" w:semiHidden="0" w:unhideWhenUsed="0"/>
    <w:lsdException w:name="Closing" w:semiHidden="0" w:unhideWhenUsed="0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 w:semiHidden="0" w:unhideWhenUsed="0"/>
    <w:lsdException w:name="Default Paragraph Font"/>
    <w:lsdException w:name="Document Map" w:semiHidden="0" w:unhideWhenUsed="0"/>
    <w:lsdException w:name="E-mail Signature" w:semiHidden="0" w:unhideWhenUsed="0"/>
    <w:lsdException w:name="Emphasis" w:semiHidden="0" w:unhideWhenUsed="0"/>
    <w:lsdException w:name="FollowedHyperlink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Hyperlink" w:semiHidden="0" w:unhideWhenUsed="0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List Number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 w:semiHidden="0" w:unhideWhenUsed="0"/>
    <w:lsdException w:name="Normal" w:semiHidden="0" w:unhideWhenUsed="0"/>
    <w:lsdException w:name="Normal (Web)" w:semiHidden="0" w:unhideWhenUsed="0"/>
    <w:lsdException w:name="Normal Indent" w:semiHidden="0" w:unhideWhenUsed="0"/>
    <w:lsdException w:name="Normal Table"/>
    <w:lsdException w:name="Note Heading" w:semiHidden="0" w:unhideWhenUsed="0"/>
    <w:lsdException w:name="Plain Text" w:semiHidden="0" w:unhideWhenUsed="0"/>
    <w:lsdException w:name="Salutation" w:semiHidden="0" w:unhideWhenUsed="0"/>
    <w:lsdException w:name="Signature" w:semiHidden="0" w:unhideWhenUsed="0"/>
    <w:lsdException w:name="Strong" w:semiHidden="0" w:unhideWhenUsed="0"/>
    <w:lsdException w:name="Subtitle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Contemporary" w:semiHidden="0" w:unhideWhenUsed="0"/>
    <w:lsdException w:name="Table Elegant" w:semiHidden="0" w:unhideWhenUsed="0"/>
    <w:lsdException w:name="Table Grid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Professional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Subtle 1" w:semiHidden="0" w:unhideWhenUsed="0"/>
    <w:lsdException w:name="Table Subtle 2" w:semiHidden="0" w:unhideWhenUsed="0"/>
    <w:lsdException w:name="Table Theme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Title" w:semiHidden="0" w:unhideWhenUsed="0"/>
    <w:lsdException w:name="annotation reference" w:semiHidden="0" w:unhideWhenUsed="0"/>
    <w:lsdException w:name="annotation subject" w:semiHidden="0" w:unhideWhenUsed="0"/>
    <w:lsdException w:name="annotation text" w:semiHidden="0" w:unhideWhenUsed="0"/>
    <w:lsdException w:name="caption"/>
    <w:lsdException w:name="endnote reference" w:semiHidden="0" w:unhideWhenUsed="0"/>
    <w:lsdException w:name="endnote text" w:semiHidden="0" w:unhideWhenUsed="0"/>
    <w:lsdException w:name="envelope address" w:semiHidden="0" w:unhideWhenUsed="0"/>
    <w:lsdException w:name="envelope return" w:semiHidden="0" w:unhideWhenUsed="0"/>
    <w:lsdException w:name="footer" w:semiHidden="0" w:unhideWhenUsed="0"/>
    <w:lsdException w:name="footnote reference" w:semiHidden="0" w:unhideWhenUsed="0"/>
    <w:lsdException w:name="footnote text" w:semiHidden="0" w:unhideWhenUsed="0"/>
    <w:lsdException w:name="header" w:semiHidden="0" w:unhideWhenUsed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index heading" w:semiHidden="0" w:unhideWhenUsed="0"/>
    <w:lsdException w:name="line number" w:semiHidden="0" w:unhideWhenUsed="0"/>
    <w:lsdException w:name="macro" w:semiHidden="0" w:unhideWhenUsed="0"/>
    <w:lsdException w:name="page number" w:semiHidden="0" w:unhideWhenUsed="0"/>
    <w:lsdException w:name="table of authorities" w:semiHidden="0" w:unhideWhenUsed="0"/>
    <w:lsdException w:name="table of figures" w:semiHidden="0" w:unhideWhenUsed="0"/>
    <w:lsdException w:name="toa heading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</w:latentStyles>
  <w:style w:type="paragraph" w:styleId="1" w:default="1">
    <w:name w:val="Normal"/>
    <w:uiPriority w:val="0"/>
    <w:qFormat/>
    <w:pPr>
      <w:widowControl w:val="0"/>
      <w:jc w:val="both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6" w:default="1">
    <w:name w:val="Default Paragraph Font"/>
    <w:uiPriority w:val="1"/>
    <w:semiHidden/>
    <w:unhideWhenUsed/>
  </w:style>
  <w:style w:type="table" w:styleId="4" w:default="1">
    <w:name w:val="Normal Table"/>
    <w:uiPriority w:val="99"/>
    <w:semiHidden/>
    <w:unhideWhenUsed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footer"/>
    <w:basedOn w:val="1"/>
    <w:link w:val="8"/>
    <w:uiPriority w:val="0"/>
    <w:qFormat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iPriority w:val="0"/>
    <w:qFormat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table" w:styleId="5">
    <w:name w:val="Table Grid"/>
    <w:basedOn w:val="4"/>
    <w:uiPriority w:val="0"/>
    <w:qFormat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character" w:styleId="7" w:customStyle="1">
    <w:name w:val="页眉 Char"/>
    <w:basedOn w:val="6"/>
    <w:link w:val="3"/>
    <w:uiPriority w:val="0"/>
    <w:qFormat/>
    <w:rPr>
      <w:sz w:val="18"/>
      <w:kern w:val="2"/>
      <w:szCs w:val="18"/>
      <w:rFonts w:asciiTheme="minorHAnsi" w:hAnsiTheme="minorHAnsi" w:eastAsiaTheme="minorEastAsia" w:cstheme="minorBidi"/>
    </w:rPr>
  </w:style>
  <w:style w:type="character" w:styleId="8" w:customStyle="1">
    <w:name w:val="页脚 Char"/>
    <w:basedOn w:val="6"/>
    <w:link w:val="2"/>
    <w:uiPriority w:val="0"/>
    <w:qFormat/>
    <w:rPr>
      <w:sz w:val="18"/>
      <w:kern w:val="2"/>
      <w:szCs w:val="18"/>
      <w:rFonts w:asciiTheme="minorHAnsi" w:hAnsiTheme="minorHAnsi" w:eastAsiaTheme="minorEastAsia" w:cstheme="minorBidi"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ゴシック"/>
        <a:font script="Beng" typeface="Vrinda"/>
        <a:font script="Uigh" typeface="Microsoft Uighur"/>
        <a:font script="Thai" typeface="Angsana New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Times New Roman"/>
        <a:font script="Sinh" typeface="Iskoola Pota"/>
        <a:font script="Geor" typeface="Sylfaen"/>
        <a:font script="Laoo" typeface="DokChampa"/>
        <a:font script="Tibt" typeface="Microsoft Himalaya"/>
        <a:font script="Viet" typeface="Times New Roman"/>
      </a:majorFont>
      <a:minorFont>
        <a:latin typeface="Calibri" panose="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明朝"/>
        <a:font script="Beng" typeface="Vrinda"/>
        <a:font script="Uigh" typeface="Microsoft Uighur"/>
        <a:font script="Thai" typeface="Cordia New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Arial"/>
        <a:font script="Sinh" typeface="Iskoola Pota"/>
        <a:font script="Geor" typeface="Sylfaen"/>
        <a:font script="Laoo" typeface="DokChampa"/>
        <a:font script="Tibt" typeface="Microsoft Himalaya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404</Characters>
  <Application>WPS Office_11.1.0.10314_F1E327BC-269C-435d-A152-05C5408002CA</Application>
  <DocSecurity>0</DocSecurity>
  <Lines>3</Lines>
  <Paragraphs>1</Paragraphs>
  <ScaleCrop>false</ScaleCrop>
  <Company>新锐中国</Company>
  <LinksUpToDate>false</LinksUpToDate>
  <CharactersWithSpaces>473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dcterms:created xsi:type="dcterms:W3CDTF">2021-03-04T02:32:00Z</dcterms:created>
  <dcterms:modified xsi:type="dcterms:W3CDTF">2023-09-08T02:48:44Z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10E0717470AB427491B4210B8878A88B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</w:rPr>
        <w:t>星火二中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:lang w:val="en-US" w:eastAsia="zh-CN"/>
        </w:rPr>
        <w:t>道德与法治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五年级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学科：</w:t>
      </w:r>
      <w:r>
        <w:rPr>
          <w:rFonts w:hint="eastAsia"/>
          <w:sz w:val="24"/>
          <w:u w:val="single"/>
        </w:rPr>
        <w:t xml:space="preserve">   道德与法治  </w:t>
      </w:r>
      <w:r>
        <w:rPr>
          <w:rFonts w:hint="eastAsia"/>
          <w:sz w:val="24"/>
        </w:rPr>
        <w:t xml:space="preserve">                    姓名：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周艳萍</w:t>
      </w:r>
      <w:r>
        <w:rPr>
          <w:rFonts w:hint="eastAsia"/>
          <w:u w:val="single"/>
        </w:rPr>
        <w:t xml:space="preserve">       </w:t>
      </w:r>
    </w:p>
    <w:p>
      <w:pPr>
        <w:rPr>
          <w:sz w:val="24"/>
        </w:rPr>
      </w:pP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1、自主选择课余生活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课余生活我选择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课余生活助我成长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过好我们的课余生活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学会沟通交流</w:t>
            </w:r>
          </w:p>
          <w:p>
            <w:pPr>
              <w:numPr>
                <w:numId w:val="0"/>
              </w:num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正确对待不同看法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真诚坦率很重要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与人沟通讲方法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3、主动拒绝烟酒与毒品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烟酒的危害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毒品更危险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拒绝危害有办法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选举产生班委会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班委会的职责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班委选举有程序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班级建设人人有责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期中考试复习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5、协商决定班级事务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决定班级事务有原则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共同的决定要落实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>
            <w:pPr>
              <w:ind w:firstLine="1920" w:firstLineChars="800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6、我们神圣的国土</w:t>
            </w:r>
          </w:p>
          <w:p>
            <w:pPr>
              <w:ind w:firstLine="2640" w:firstLineChars="1100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辽阔的国土</w:t>
            </w:r>
          </w:p>
          <w:p>
            <w:pPr>
              <w:numPr>
                <w:numId w:val="0"/>
              </w:numPr>
              <w:ind w:firstLine="2400" w:firstLineChars="1000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好山好水好风光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一方水土一方生活</w:t>
            </w:r>
          </w:p>
          <w:p>
            <w:pPr>
              <w:numPr>
                <w:ilvl w:val="0"/>
                <w:numId w:val="2"/>
              </w:num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中华民族一家亲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中华民族大家庭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各民族谁也离不开谁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互相尊重 守望相护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8、美丽文字  民族瑰宝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丰富多样的文字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古老而优美的汉字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意蕴隽永的汉字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影响深远的汉字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9、古代科技 耀我中华</w:t>
            </w:r>
          </w:p>
          <w:p>
            <w:pPr>
              <w:ind w:firstLine="1200" w:firstLineChars="50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灿如繁星的古代科学巨人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独具特色的古代科学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独领风骚的古代技术创造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改变世界的四大文明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10、传统美德  源远流长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自强不息的人格修养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立己达人的仁爱精神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天下兴亡、匹夫有责的爱国情怀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总复习</w:t>
            </w: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tbak/document1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rPr>
          <w:b w:val="1"/>
          <w:color w:val="000000" w:themeColor="text1"/>
          <w:sz w:val="44"/>
          <w:bCs/>
          <w:szCs w:val="44"/>
          <w:shd w:val="clear" w:color="FFFFFF" w:fill="auto"/>
          <w:rFonts w:ascii="黑体" w:hAnsi="黑体" w:eastAsia="黑体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:shd w:val="clear" w:color="FFFFFF" w:fill="auto"/>
          <w:rFonts w:ascii="黑体" w:hAnsi="黑体" w:eastAsia="黑体" w:hint="eastAsia"/>
        </w:rPr>
        <w:t>星火二中</w:t>
      </w:r>
      <w:r>
        <w:rPr>
          <w:b w:val="1"/>
          <w:u w:val="single"/>
          <w:color w:val="000000" w:themeColor="text1"/>
          <w:sz w:val="44"/>
          <w:lang w:val="en-US" w:eastAsia="zh-CN"/>
          <w:bCs/>
          <w:szCs w:val="44"/>
          <w:shd w:val="clear" w:color="FFFFFF" w:fill="auto"/>
          <w:rFonts w:ascii="黑体" w:hAnsi="黑体" w:eastAsia="黑体" w:hint="eastAsia"/>
        </w:rPr>
        <w:t>道德与法治</w:t>
      </w:r>
      <w:r>
        <w:rPr>
          <w:b w:val="1"/>
          <w:color w:val="000000" w:themeColor="text1"/>
          <w:sz w:val="44"/>
          <w:bCs/>
          <w:szCs w:val="44"/>
          <w:shd w:val="clear" w:color="FFFFFF" w:fill="auto"/>
          <w:rFonts w:ascii="黑体" w:hAnsi="黑体" w:eastAsia="黑体" w:hint="eastAsia"/>
        </w:rPr>
        <w:t>学科教学进度表</w:t>
      </w:r>
    </w:p>
    <w:p>
      <w:pPr>
        <w:jc w:val="center"/>
        <w:rPr>
          <w:b w:val="1"/>
          <w:color w:val="000000" w:themeColor="text1"/>
          <w:sz w:val="32"/>
          <w:bCs/>
          <w:szCs w:val="32"/>
          <w:shd w:val="clear" w:color="FFFFFF" w:fill="D9D9D9"/>
          <w:rFonts w:ascii="楷体" w:hAnsi="楷体" w:eastAsia="楷体"/>
        </w:rPr>
      </w:pPr>
      <w:r>
        <w:rPr>
          <w:b w:val="1"/>
          <w:color w:val="000000" w:themeColor="text1"/>
          <w:sz w:val="32"/>
          <w:bCs/>
          <w:szCs w:val="32"/>
          <w:shd w:val="clear" w:color="FFFFFF" w:fill="auto"/>
          <w:rFonts w:ascii="楷体" w:hAnsi="楷体" w:eastAsia="楷体" w:hint="eastAsia"/>
        </w:rPr>
        <w:t>（2023</w:t>
      </w:r>
      <w:r>
        <w:rPr>
          <w:b w:val="1"/>
          <w:color w:val="000000" w:themeColor="text1"/>
          <w:sz w:val="32"/>
          <w:bCs/>
          <w:szCs w:val="32"/>
          <w:shd w:val="clear" w:color="FFFFFF" w:fill="auto"/>
          <w:rFonts w:ascii="楷体" w:hAnsi="楷体" w:eastAsia="楷体"/>
        </w:rPr>
        <w:t>—</w:t>
      </w:r>
      <w:r>
        <w:rPr>
          <w:b w:val="1"/>
          <w:color w:val="000000" w:themeColor="text1"/>
          <w:sz w:val="32"/>
          <w:bCs/>
          <w:szCs w:val="32"/>
          <w:shd w:val="clear" w:color="FFFFFF" w:fill="auto"/>
          <w:rFonts w:ascii="楷体" w:hAnsi="楷体" w:eastAsia="楷体" w:hint="eastAsia"/>
        </w:rPr>
        <w:t>2024学年度第一学期）</w:t>
      </w:r>
    </w:p>
    <w:p>
      <w:pPr>
        <w:rPr>
          <w:u w:val="single"/>
        </w:rPr>
      </w:pPr>
      <w:r>
        <w:rPr>
          <w:sz w:val="24"/>
          <w:rFonts w:hint="eastAsia"/>
        </w:rPr>
        <w:t>年级：</w:t>
      </w:r>
      <w:r>
        <w:rPr>
          <w:u w:val="single"/>
          <w:sz w:val="24"/>
          <w:rFonts w:hint="eastAsia"/>
        </w:rPr>
        <w:t xml:space="preserve">  </w:t>
      </w:r>
      <w:r>
        <w:rPr>
          <w:u w:val="single"/>
          <w:sz w:val="24"/>
          <w:lang w:val="en-US" w:eastAsia="zh-CN"/>
          <w:rFonts w:hint="eastAsia"/>
        </w:rPr>
        <w:t>五年级</w:t>
      </w:r>
      <w:r>
        <w:rPr>
          <w:u w:val="single"/>
          <w:sz w:val="24"/>
          <w:rFonts w:hint="eastAsia"/>
        </w:rPr>
        <w:t xml:space="preserve">    </w:t>
      </w:r>
      <w:r>
        <w:rPr>
          <w:sz w:val="24"/>
          <w:rFonts w:hint="eastAsia"/>
        </w:rPr>
        <w:t xml:space="preserve">      学科：</w:t>
      </w:r>
      <w:r>
        <w:rPr>
          <w:u w:val="single"/>
          <w:sz w:val="24"/>
          <w:rFonts w:hint="eastAsia"/>
        </w:rPr>
        <w:t xml:space="preserve">   道德与法治  </w:t>
      </w:r>
      <w:r>
        <w:rPr>
          <w:sz w:val="24"/>
          <w:rFonts w:hint="eastAsia"/>
        </w:rPr>
        <w:t xml:space="preserve">                    姓名：</w:t>
      </w:r>
      <w:r>
        <w:rPr>
          <w:u w:val="single"/>
          <w:rFonts w:hint="eastAsia"/>
        </w:rPr>
        <w:t xml:space="preserve"> </w:t>
      </w:r>
      <w:r>
        <w:rPr>
          <w:u w:val="single"/>
          <w:lang w:val="en-US" w:eastAsia="zh-CN"/>
          <w:rFonts w:hint="eastAsia"/>
        </w:rPr>
        <w:t>周艳萍</w:t>
      </w:r>
      <w:r>
        <w:rPr>
          <w:u w:val="single"/>
          <w:rFonts w:hint="eastAsia"/>
        </w:rPr>
        <w:t xml:space="preserve">       </w:t>
      </w:r>
    </w:p>
    <w:p>
      <w:pPr>
        <w:rPr>
          <w:sz w:val="24"/>
        </w:rPr>
      </w:pPr>
    </w:p>
    <w:tbl>
      <w:tblPr>
        <w:tblStyle w:val="5"/>
        <w:tblW w:w="9367" w:type="dxa"/>
        <w:tblInd w:type="dxa" w:w="0.000000"/>
        <w:tblLayout w:type="fixed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930.000000"/>
        <w:gridCol w:w="1504.000000"/>
        <w:gridCol w:w="5973.000000"/>
        <w:gridCol w:w="960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</w:t>
            </w:r>
          </w:p>
        </w:tc>
        <w:tc>
          <w:tcPr>
            <w:tcW w:w="1504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9.02-9.06</w:t>
            </w:r>
          </w:p>
        </w:tc>
        <w:tc>
          <w:tcPr>
            <w:tcW w:w="5973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1、自主选择课余生活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课余生活我选择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课余生活助我成长</w:t>
            </w:r>
          </w:p>
        </w:tc>
        <w:tc>
          <w:tcPr>
            <w:tcW w:w="960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9.9--9.114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过好我们的课余生活</w:t>
            </w:r>
          </w:p>
          <w:p>
            <w:pPr>
              <w:jc w:val="center"/>
              <w:numPr>
                <w:ilvl w:val="0"/>
                <w:numId w:val="1"/>
              </w:numPr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学会沟通交流</w:t>
            </w:r>
          </w:p>
          <w:p>
            <w:pPr>
              <w:jc w:val="center"/>
              <w:numPr>
                <w:ilvl w:val="0"/>
                <w:numId w:val="0"/>
              </w:numPr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正确对待不同看法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9.18-9.220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真诚坦率很重要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与人沟通讲方法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9.23--9.27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3、主动拒绝烟酒与毒品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烟酒的危害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毒品更危险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10.08-10.12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拒绝危害有办法</w:t>
            </w:r>
          </w:p>
          <w:p>
            <w:pPr>
              <w:jc w:val="center"/>
              <w:numPr>
                <w:ilvl w:val="0"/>
                <w:numId w:val="1"/>
              </w:numPr>
              <w:ind w:firstLine="0" w:firstLineChars="0" w:left="0" w:leftChars="0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选举产生班委会</w:t>
            </w:r>
          </w:p>
          <w:p>
            <w:pPr>
              <w:jc w:val="center"/>
              <w:numPr>
                <w:ilvl w:val="0"/>
                <w:numId w:val="1"/>
              </w:numPr>
              <w:ind w:firstLine="0" w:firstLineChars="0" w:left="0" w:leftChars="0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班委会的职责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班委选举有程序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班级建设人人有责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10.21--10.25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期中考试复习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10.28-11.01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11.4--11.8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5、协商决定班级事务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决定班级事务有原则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共同的决定要落实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11.11--11.15</w:t>
            </w:r>
          </w:p>
        </w:tc>
        <w:tc>
          <w:tcPr>
            <w:tcW w:w="6933" w:type="dxa"/>
            <w:gridSpan w:val="2"/>
            <w:vAlign w:val="center"/>
          </w:tcPr>
          <w:p>
            <w:pPr>
              <w:jc w:val="both"/>
              <w:ind w:firstLine="1920" w:firstLineChars="800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6、我们神圣的国土</w:t>
            </w:r>
          </w:p>
          <w:p>
            <w:pPr>
              <w:jc w:val="both"/>
              <w:ind w:firstLine="2640" w:firstLineChars="1100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辽阔的国土</w:t>
            </w:r>
          </w:p>
          <w:p>
            <w:pPr>
              <w:jc w:val="both"/>
              <w:numPr>
                <w:ilvl w:val="0"/>
                <w:numId w:val="0"/>
              </w:numPr>
              <w:ind w:firstLine="2400" w:firstLineChars="1000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好山好水好风光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11.18--11.22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一方水土一方生活</w:t>
            </w:r>
          </w:p>
          <w:p>
            <w:pPr>
              <w:jc w:val="center"/>
              <w:numPr>
                <w:ilvl w:val="0"/>
                <w:numId w:val="2"/>
              </w:numPr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中华民族一家亲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  <w:lang w:val="en-US" w:eastAsia="zh-CN"/>
                <w:rFonts w:hint="eastAsia"/>
              </w:rPr>
              <w:t>中华民族大家庭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11.25---12.29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各民族谁也离不开谁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互相尊重 守望相护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12.2--12.06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8、美丽文字  民族瑰宝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丰富多样的文字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古老而优美的汉字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12.9--12.13</w:t>
            </w:r>
          </w:p>
        </w:tc>
        <w:tc>
          <w:tcPr>
            <w:tcW w:w="5973" w:type="dxa"/>
            <w:vAlign w:val="center"/>
          </w:tcPr>
          <w:p>
            <w:pPr>
              <w:ind w:firstLine="1920" w:firstLineChars="800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意蕴隽永的汉字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影响深远的汉字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9、古代科技 耀我中华</w:t>
            </w:r>
          </w:p>
          <w:p>
            <w:pPr>
              <w:ind w:firstLine="1200" w:firstLineChars="500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灿如繁星的古代科学巨人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12.16--12.220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独具特色的古代科学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独领风骚的古代技术创造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改变世界的四大文明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12.23--12.27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10、传统美德  源远流长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自强不息的人格修养</w:t>
            </w:r>
          </w:p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lang w:val="en-US" w:eastAsia="zh-CN"/>
                <w:rFonts w:hint="eastAsia"/>
              </w:rPr>
              <w:t>立己达人的仁爱精神</w:t>
            </w:r>
          </w:p>
          <w:p>
            <w:pPr>
              <w:jc w:val="center"/>
              <w:rPr>
                <w:sz w:val="24"/>
                <w:lang w:val="en-US" w:eastAsia="zh-CN"/>
                <w:rFonts w:hint="default"/>
              </w:rPr>
            </w:pPr>
            <w:r>
              <w:rPr>
                <w:sz w:val="24"/>
                <w:lang w:val="en-US" w:eastAsia="zh-CN"/>
                <w:rFonts w:hint="eastAsia"/>
              </w:rPr>
              <w:t>天下兴亡、匹夫有责的爱国情怀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12.30---1.03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 w:eastAsiaTheme="minorEastAsia"/>
              </w:rPr>
            </w:pPr>
            <w:bookmarkStart w:id="0" w:name="_GoBack"/>
            <w:bookmarkEnd w:id="0"/>
            <w:r>
              <w:rPr>
                <w:sz w:val="24"/>
                <w:lang w:val="en-US" w:eastAsia="zh-CN"/>
                <w:rFonts w:hint="eastAsia"/>
              </w:rPr>
              <w:t>总复习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1.06--1.10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14"/>
          <w:rFonts w:ascii="仿宋" w:hAnsi="仿宋" w:eastAsia="仿宋" w:cs="仿宋"/>
        </w:rPr>
      </w:pPr>
    </w:p>
    <w:sectPr>
      <w:docGrid w:type="lines" w:linePitch="312" w:charSpace="0"/>
      <w:pgSz w:w="11906" w:h="16838"/>
      <w:pgMar w:top="737" w:right="851" w:bottom="737" w:left="1701" w:header="851" w:footer="992" w:gutter="0"/>
      <w:cols w:space="0" w:num="1"/>
    </w:sectPr>
  </w:body>
</w:document>
</file>