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203172">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jc w:val="center"/>
        <w:textAlignment w:val="auto"/>
        <w:rPr>
          <w:rFonts w:hint="eastAsia" w:ascii="黑体" w:hAnsi="黑体" w:eastAsia="黑体" w:cs="黑体"/>
          <w:sz w:val="44"/>
          <w:szCs w:val="44"/>
        </w:rPr>
      </w:pPr>
      <w:r>
        <w:rPr>
          <w:rFonts w:hint="eastAsia" w:ascii="黑体" w:hAnsi="黑体" w:eastAsia="黑体" w:cs="黑体"/>
          <w:sz w:val="44"/>
          <w:szCs w:val="44"/>
        </w:rPr>
        <w:t>兰西县临江镇中学2025——2026学年度下学期教师培训工作总结</w:t>
      </w:r>
    </w:p>
    <w:p w14:paraId="49D476D7">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本学期，我校依据《兰西县临江镇中学2025——2026学年度下学期校本培训计划》，紧紧围绕提升校长领导力、学科教师教学设计能力、信息技术融合应用能力及班主任班级管理能力的总体目标，有计划、分主题、按步骤地开展了系列化教师培训活动。本学期培训严格遵循分月主题安排，聚焦“调适外部环境”“教学设计”“信技融合”“班级管理”四大核心能力，开展了系统性的研修活动。通过一学期的扎实实施，培训工作取得了阶段性成效，有效促进了教师队伍的整体发展与学校教育教学质量的提升。现将本学期培训工作总结如下：</w:t>
      </w:r>
    </w:p>
    <w:p w14:paraId="78FAFBD4">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一、培训计划执行情况与主要成效</w:t>
      </w:r>
    </w:p>
    <w:p w14:paraId="4381A7BB">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三月份：“调适外部环境”领导力培训。通过专题讲座、案例研讨与实践任务相结合的方式，校长及管理人员对家校社协同育人的理念与路径有了更深理解。全体参训干部围绕专题讲座《校长如何构建家校社协同育人机制》及优秀学校与社区联动经验分享开展了深入研讨，并结合我校实际完成了家校社协同育人实施方案的撰写，提出了具体措施与预期成效。通过本次培训，学校与家庭、社会协同育人的意识显著增强，外部资源整合能力得到有效提升。</w:t>
      </w:r>
    </w:p>
    <w:p w14:paraId="33C2E63B">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四月份：学科教师教学设计能力培训。以理论培训、实操演练、优秀课例学习为路径，重点提升了教师基于新课标的教学设计能力。各教研组围绕基于核心素养的教学目标设计、教学活动设计与学习任务组织开展了专题理论学习，并通过教学设计互评与优化、案例分析等实操演练深化理解。全体学科教师按要求完成了国家中小学智慧教育平台优质教学设计观摩，并提交了一份完整的教学设计（含教学目标、活动设计、评价方式等），按时上传至教师进修学校网站。教师的教学设计规范性及对新课标的把握能力得到普遍提高。</w:t>
      </w:r>
    </w:p>
    <w:p w14:paraId="07652E23">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五月份：领导及教师信技融合应用能力培训。分层针对管理层和教师开展培训，内容涵盖智慧校园建设与教育数据应用、智慧课堂工具操作与数字资源开发等。通过信息技术支持下的个性化学习路径设计、跨平台教学资源整合与应用等实践案例的学习，各教研组积极实践，均提交了信息技术融合课教学设计，并完成了一节融合课实录。活动中，我校教师积极参与县域“名师大讲堂”等专项教研活动，在跨校交流中展示了信息技术与课堂教学融合的创新成果，信息技术在教育教学中的深度融合应用取得初步成果，教师数字化教学能力得到有效拓展。</w:t>
      </w:r>
    </w:p>
    <w:p w14:paraId="1869DAB0">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六月份：班主任班级管理能力培训。通过专题讲座、案例分享与情景模拟，着重强化了班主任在学生引导、班级组织与家校沟通方面的策略与艺术。围绕专题讲座《班级管理的策略与艺术》以及优秀班主任班级文化建设与家校共育经验分享，班主任们开展了深入交流；通过学生冲突处理、家校沟通等情景模拟实战演练，进一步提升了班主任应对实际问题的能力。班主任们结合工作实际，提交了具有代表性的班级管理案例报告（含问题描述、处理过程与反思），展现了在处理实际问题中的思考与成长，家校共育的意识和能力得到进一步巩固。</w:t>
      </w:r>
    </w:p>
    <w:p w14:paraId="2F9BCAFE">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二、培训保障措施落实到位</w:t>
      </w:r>
    </w:p>
    <w:p w14:paraId="4B9B677F">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1.资源支持充分：学校提供了多媒体教室、录播设备及线上学习平台支持，保障了培训活动尤其是实操环节的顺利开展。</w:t>
      </w:r>
    </w:p>
    <w:p w14:paraId="26E934AE">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2.过程管理规范：严格执行签到制度，将培训纳入继续教育学时管理体系。每月培训后组织线上反馈问卷，及时了解培训效果与教师需求，并对后续培训内容进行了优化调整。</w:t>
      </w:r>
    </w:p>
    <w:p w14:paraId="3C6A8AC0">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成果应用初显：本学期产生的优秀家校社协同育人实施方案、教学设计、信息技术融合课例及班级管理案例报告已开始整理，部分已纳入校本资源库。学校领导班子定期检查培训实施与成果落地情况，推动了培训成果向实际教育教学及管理工作的转化。</w:t>
      </w:r>
    </w:p>
    <w:p w14:paraId="1BE19086">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三、存在的问题与反思</w:t>
      </w:r>
    </w:p>
    <w:p w14:paraId="083FB49B">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1.个别主题培训深度有待加强：部分培训内容因时间所限，研讨与实践的深度可进一步延伸，如家校社协同育人的长效机制建设、信息技术与学科教学的深度融合模式探索尚需持续跟进。</w:t>
      </w:r>
    </w:p>
    <w:p w14:paraId="3337696A">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2.成果推广与常态化应用需强化：优秀培训成果在校内推广、辐射引领的机制有待完善，如何将培训所得有效、持久地应用于日常教学与管理，需要更多制度性支持和活动载体。</w:t>
      </w:r>
    </w:p>
    <w:p w14:paraId="5478B39B">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3.分层分类培训可更精细化：针对不同发展阶段、不同学科教师的需求差异，未来的培训设计可进一步体现精准性和个性化。</w:t>
      </w:r>
    </w:p>
    <w:p w14:paraId="0F7FC392">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四、下一步工作思路</w:t>
      </w:r>
    </w:p>
    <w:p w14:paraId="3E4D6E83">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1.深化培训成果：组织本学期优秀成果展示交流活动，推广有效经验。针对薄弱环节，规划下学期专题研修或工作坊。</w:t>
      </w:r>
    </w:p>
    <w:p w14:paraId="5DB3FD7E">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2.完善培训体系：结合反馈与反思，进一步优化培训主题与形式，加强训后跟踪指导，建立长效促进机制。</w:t>
      </w:r>
    </w:p>
    <w:p w14:paraId="0B16E6B7">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3.强化融合应用：持续推进信息技术与教育教学管理的深度融合，鼓励基于真实问题的行动研究与创新实践。</w:t>
      </w:r>
    </w:p>
    <w:p w14:paraId="52688081">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4.注重梯队培养：设计更具针对性的分层培训项目，关注青年教师和骨干教师的差异化成长需求。</w:t>
      </w:r>
    </w:p>
    <w:p w14:paraId="7207C8FB">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总之，本学期教师培训工作目标明确、组织有序、实施有效，基本达到了预期目标，为学校可持续发展注入了专业动力。学校将继续秉持“研训一体、学用结合”的原则，不断优化教师专业发展支持体系，为建设高素质专业化创新型教师队伍而不懈努力。</w:t>
      </w:r>
      <w:bookmarkStart w:id="0" w:name="_GoBack"/>
      <w:bookmarkEnd w:id="0"/>
    </w:p>
    <w:sectPr>
      <w:pgSz w:w="11906" w:h="16838"/>
      <w:pgMar w:top="850" w:right="850" w:bottom="85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E4C6BCB"/>
    <w:rsid w:val="617479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1596</Words>
  <Characters>1622</Characters>
  <Lines>0</Lines>
  <Paragraphs>0</Paragraphs>
  <TotalTime>21</TotalTime>
  <ScaleCrop>false</ScaleCrop>
  <LinksUpToDate>false</LinksUpToDate>
  <CharactersWithSpaces>1623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2025-12-16T03:12:00Z</dcterms:created>
  <dc:creator>18724</dc:creator>
  <cp:lastModifiedBy>leader</cp:lastModifiedBy>
  <dcterms:modified xsi:type="dcterms:W3CDTF">2026-06-30T07:40:38Z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eyJoZGlkIjoiYjJiNTk0MDFhNWU5ZGZiYzE5ZTg3NzRlYzc3ODg0NGUiLCJ1c2VySWQiOiIzNjgwMzQ1NzAifQ==</vt:lpwstr>
  </property>
  <property fmtid="{D5CDD505-2E9C-101B-9397-08002B2CF9AE}" pid="4" name="ICV">
    <vt:lpwstr>F3C01C566BD8495AA0C71C15AC502B87_12</vt:lpwstr>
  </property>
</Properties>
</file>